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26279" w14:textId="77777777" w:rsidR="00432020" w:rsidRDefault="009F5BC7" w:rsidP="00432020">
      <w:pPr>
        <w:spacing w:after="0"/>
        <w:contextualSpacing/>
      </w:pPr>
      <w:r>
        <w:t>Data used to produce Figure 3</w:t>
      </w:r>
      <w:r w:rsidR="00895E1A">
        <w:t xml:space="preserve"> on </w:t>
      </w:r>
      <w:r w:rsidR="00174DAB">
        <w:t>the following article:</w:t>
      </w:r>
      <w:r w:rsidR="00432020" w:rsidRPr="00432020">
        <w:t xml:space="preserve"> </w:t>
      </w:r>
    </w:p>
    <w:p w14:paraId="0F5E8F41" w14:textId="502CE5A2" w:rsidR="00174DAB" w:rsidRDefault="00432020" w:rsidP="00432020">
      <w:pPr>
        <w:spacing w:after="0"/>
        <w:contextualSpacing/>
      </w:pPr>
      <w:r w:rsidRPr="00432020">
        <w:t xml:space="preserve">Giannitsopoulos, M.L., Burgess, P.J., Bell, M., Richter, G.M., Topp, C.F.E., Ingram, J., Takahashi, T., 2022. Translating and applying a simulation model to enhance understanding of grassland management. </w:t>
      </w:r>
      <w:r w:rsidRPr="00432020">
        <w:rPr>
          <w:i/>
          <w:iCs/>
        </w:rPr>
        <w:t>Grass and Forage Science</w:t>
      </w:r>
      <w:r>
        <w:t>……</w:t>
      </w:r>
    </w:p>
    <w:p w14:paraId="3FF29D24" w14:textId="77777777" w:rsidR="00432020" w:rsidRDefault="00432020" w:rsidP="009F5BC7">
      <w:pPr>
        <w:spacing w:after="0"/>
        <w:contextualSpacing/>
        <w:jc w:val="center"/>
      </w:pPr>
    </w:p>
    <w:p w14:paraId="455354F5" w14:textId="479EBBF5" w:rsidR="009F5BC7" w:rsidRDefault="00432020" w:rsidP="009F5BC7">
      <w:pPr>
        <w:spacing w:after="0"/>
        <w:contextualSpacing/>
        <w:jc w:val="center"/>
      </w:pPr>
      <w:r>
        <w:t xml:space="preserve">Table A. </w:t>
      </w:r>
      <w:r w:rsidR="00895E1A" w:rsidRPr="00895E1A">
        <w:t xml:space="preserve">Modelled effect of harvest intervals on </w:t>
      </w:r>
      <w:r w:rsidR="009F5BC7" w:rsidRPr="009F5BC7">
        <w:t xml:space="preserve">green leaf yield in Year 1, and both the harvestable yield of green leaves and other components (stems, dead </w:t>
      </w:r>
      <w:proofErr w:type="gramStart"/>
      <w:r w:rsidR="009F5BC7" w:rsidRPr="009F5BC7">
        <w:t>leaves</w:t>
      </w:r>
      <w:proofErr w:type="gramEnd"/>
      <w:r w:rsidR="009F5BC7" w:rsidRPr="009F5BC7">
        <w:t xml:space="preserve"> and seeds) in year 2, using weather data from Sutton Bonington for 1985</w:t>
      </w:r>
    </w:p>
    <w:p w14:paraId="2F9D7AAD" w14:textId="4777FC10" w:rsidR="00E364E5" w:rsidRDefault="00E364E5" w:rsidP="009F5BC7">
      <w:pPr>
        <w:spacing w:after="0"/>
        <w:contextualSpacing/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1711"/>
        <w:gridCol w:w="237"/>
        <w:gridCol w:w="1532"/>
        <w:gridCol w:w="1829"/>
      </w:tblGrid>
      <w:tr w:rsidR="008370F3" w14:paraId="1ABC535D" w14:textId="77777777" w:rsidTr="008370F3">
        <w:trPr>
          <w:jc w:val="center"/>
        </w:trPr>
        <w:tc>
          <w:tcPr>
            <w:tcW w:w="1606" w:type="dxa"/>
            <w:vMerge w:val="restart"/>
            <w:tcBorders>
              <w:top w:val="single" w:sz="4" w:space="0" w:color="auto"/>
            </w:tcBorders>
            <w:vAlign w:val="center"/>
          </w:tcPr>
          <w:p w14:paraId="2394A1D9" w14:textId="62DEE8DB" w:rsidR="008370F3" w:rsidRDefault="008370F3" w:rsidP="008370F3">
            <w:pPr>
              <w:contextualSpacing/>
            </w:pPr>
            <w:r w:rsidRPr="00B709A8">
              <w:t>Harvest interval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3502D12" w14:textId="77777777" w:rsidR="008370F3" w:rsidRDefault="008370F3" w:rsidP="00E364E5">
            <w:pPr>
              <w:contextualSpacing/>
              <w:jc w:val="center"/>
            </w:pPr>
            <w:r w:rsidRPr="00B709A8">
              <w:t>Year 1</w:t>
            </w:r>
          </w:p>
          <w:p w14:paraId="1811B72F" w14:textId="15DE01EE" w:rsidR="008370F3" w:rsidRDefault="008370F3" w:rsidP="00E364E5">
            <w:pPr>
              <w:contextualSpacing/>
              <w:jc w:val="center"/>
            </w:pPr>
            <w:r w:rsidRPr="00B709A8">
              <w:t>(LINGRA)</w:t>
            </w:r>
          </w:p>
        </w:tc>
        <w:tc>
          <w:tcPr>
            <w:tcW w:w="237" w:type="dxa"/>
            <w:tcBorders>
              <w:top w:val="single" w:sz="4" w:space="0" w:color="auto"/>
            </w:tcBorders>
          </w:tcPr>
          <w:p w14:paraId="22D288C1" w14:textId="77777777" w:rsidR="008370F3" w:rsidRPr="00B709A8" w:rsidRDefault="008370F3" w:rsidP="00E364E5">
            <w:pPr>
              <w:contextualSpacing/>
              <w:jc w:val="center"/>
            </w:pPr>
          </w:p>
        </w:tc>
        <w:tc>
          <w:tcPr>
            <w:tcW w:w="336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65FB3AE" w14:textId="77777777" w:rsidR="008370F3" w:rsidRDefault="008370F3" w:rsidP="00E364E5">
            <w:pPr>
              <w:contextualSpacing/>
              <w:jc w:val="center"/>
            </w:pPr>
            <w:r w:rsidRPr="00B709A8">
              <w:t>Year 2</w:t>
            </w:r>
          </w:p>
          <w:p w14:paraId="6468922A" w14:textId="507D092E" w:rsidR="008370F3" w:rsidRDefault="008370F3" w:rsidP="00E364E5">
            <w:pPr>
              <w:contextualSpacing/>
              <w:jc w:val="center"/>
            </w:pPr>
            <w:r w:rsidRPr="00B709A8">
              <w:t>(LINGRA-N-Plus)</w:t>
            </w:r>
          </w:p>
        </w:tc>
      </w:tr>
      <w:tr w:rsidR="008370F3" w14:paraId="0D7E69DF" w14:textId="77777777" w:rsidTr="00E364E5">
        <w:trPr>
          <w:jc w:val="center"/>
        </w:trPr>
        <w:tc>
          <w:tcPr>
            <w:tcW w:w="1606" w:type="dxa"/>
            <w:vMerge/>
          </w:tcPr>
          <w:p w14:paraId="45D6E529" w14:textId="4732E071" w:rsidR="008370F3" w:rsidRDefault="008370F3" w:rsidP="00E364E5">
            <w:pPr>
              <w:contextualSpacing/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14:paraId="60222F95" w14:textId="1B9A544E" w:rsidR="008370F3" w:rsidRDefault="008370F3" w:rsidP="00E364E5">
            <w:pPr>
              <w:contextualSpacing/>
              <w:jc w:val="center"/>
            </w:pPr>
          </w:p>
        </w:tc>
        <w:tc>
          <w:tcPr>
            <w:tcW w:w="237" w:type="dxa"/>
          </w:tcPr>
          <w:p w14:paraId="5612CB51" w14:textId="77777777" w:rsidR="008370F3" w:rsidRPr="00B709A8" w:rsidRDefault="008370F3" w:rsidP="00E364E5">
            <w:pPr>
              <w:contextualSpacing/>
              <w:jc w:val="center"/>
            </w:pPr>
          </w:p>
        </w:tc>
        <w:tc>
          <w:tcPr>
            <w:tcW w:w="3361" w:type="dxa"/>
            <w:gridSpan w:val="2"/>
            <w:vMerge/>
            <w:tcBorders>
              <w:bottom w:val="single" w:sz="4" w:space="0" w:color="auto"/>
            </w:tcBorders>
          </w:tcPr>
          <w:p w14:paraId="7AA0FFB3" w14:textId="4C9DD7AC" w:rsidR="008370F3" w:rsidRDefault="008370F3" w:rsidP="00E364E5">
            <w:pPr>
              <w:contextualSpacing/>
              <w:jc w:val="center"/>
            </w:pPr>
          </w:p>
        </w:tc>
      </w:tr>
      <w:tr w:rsidR="008370F3" w14:paraId="74B54CCC" w14:textId="77777777" w:rsidTr="008B73AB">
        <w:trPr>
          <w:jc w:val="center"/>
        </w:trPr>
        <w:tc>
          <w:tcPr>
            <w:tcW w:w="1606" w:type="dxa"/>
            <w:vMerge/>
            <w:tcBorders>
              <w:bottom w:val="single" w:sz="4" w:space="0" w:color="auto"/>
            </w:tcBorders>
          </w:tcPr>
          <w:p w14:paraId="45B03C98" w14:textId="78FE9FD1" w:rsidR="008370F3" w:rsidRDefault="008370F3" w:rsidP="00E364E5">
            <w:pPr>
              <w:contextualSpacing/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16FFC" w14:textId="36E8E008" w:rsidR="008370F3" w:rsidRDefault="008370F3" w:rsidP="008B73AB">
            <w:pPr>
              <w:contextualSpacing/>
              <w:jc w:val="center"/>
            </w:pPr>
            <w:r w:rsidRPr="00B709A8">
              <w:t>Green leaf yield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vAlign w:val="center"/>
          </w:tcPr>
          <w:p w14:paraId="5F38D5EC" w14:textId="77777777" w:rsidR="008370F3" w:rsidRPr="00B709A8" w:rsidRDefault="008370F3" w:rsidP="008B73AB">
            <w:pPr>
              <w:contextualSpacing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1C513" w14:textId="2075B8A2" w:rsidR="008370F3" w:rsidRDefault="008370F3" w:rsidP="008B73AB">
            <w:pPr>
              <w:contextualSpacing/>
              <w:jc w:val="center"/>
            </w:pPr>
            <w:r w:rsidRPr="00B709A8">
              <w:t>Green leaf yield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14:paraId="33F26263" w14:textId="1E6EC6C2" w:rsidR="008370F3" w:rsidRDefault="008370F3" w:rsidP="00E364E5">
            <w:pPr>
              <w:contextualSpacing/>
              <w:jc w:val="center"/>
            </w:pPr>
            <w:r w:rsidRPr="00B709A8">
              <w:t>Yield of other harvested components</w:t>
            </w:r>
          </w:p>
        </w:tc>
      </w:tr>
      <w:tr w:rsidR="008370F3" w14:paraId="59FBA561" w14:textId="77777777" w:rsidTr="00D21B4B">
        <w:trPr>
          <w:jc w:val="center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14:paraId="6A503055" w14:textId="4CBD9C26" w:rsidR="008370F3" w:rsidRDefault="008370F3" w:rsidP="00E364E5">
            <w:pPr>
              <w:contextualSpacing/>
            </w:pPr>
            <w:r w:rsidRPr="00B709A8">
              <w:t>(days)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14:paraId="215B2165" w14:textId="211C2AE8" w:rsidR="008370F3" w:rsidRDefault="008370F3" w:rsidP="00E364E5">
            <w:pPr>
              <w:contextualSpacing/>
              <w:jc w:val="center"/>
            </w:pPr>
            <w:r w:rsidRPr="00B709A8">
              <w:t xml:space="preserve">(t </w:t>
            </w:r>
            <w:proofErr w:type="gramStart"/>
            <w:r w:rsidRPr="00B709A8">
              <w:t>ha</w:t>
            </w:r>
            <w:r w:rsidRPr="008370F3">
              <w:rPr>
                <w:vertAlign w:val="superscript"/>
              </w:rPr>
              <w:t>-1</w:t>
            </w:r>
            <w:proofErr w:type="gramEnd"/>
            <w:r w:rsidRPr="00B709A8">
              <w:t>)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14:paraId="4D0032FD" w14:textId="77777777" w:rsidR="008370F3" w:rsidRDefault="008370F3" w:rsidP="00E364E5">
            <w:pPr>
              <w:contextualSpacing/>
              <w:jc w:val="center"/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75EC6C" w14:textId="50A6DC99" w:rsidR="008370F3" w:rsidRDefault="008370F3" w:rsidP="00E364E5">
            <w:pPr>
              <w:contextualSpacing/>
              <w:jc w:val="center"/>
            </w:pPr>
            <w:r w:rsidRPr="00B709A8">
              <w:t xml:space="preserve">(t </w:t>
            </w:r>
            <w:proofErr w:type="gramStart"/>
            <w:r w:rsidRPr="00B709A8">
              <w:t>ha</w:t>
            </w:r>
            <w:r w:rsidRPr="008370F3">
              <w:rPr>
                <w:vertAlign w:val="superscript"/>
              </w:rPr>
              <w:t>-1</w:t>
            </w:r>
            <w:proofErr w:type="gramEnd"/>
            <w:r w:rsidRPr="00B709A8">
              <w:t>)</w:t>
            </w:r>
          </w:p>
        </w:tc>
      </w:tr>
      <w:tr w:rsidR="00E364E5" w14:paraId="351CCE2C" w14:textId="77777777" w:rsidTr="008370F3">
        <w:trPr>
          <w:jc w:val="center"/>
        </w:trPr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14:paraId="26045248" w14:textId="3307AE39" w:rsidR="00E364E5" w:rsidRDefault="00E364E5" w:rsidP="00E364E5">
            <w:pPr>
              <w:contextualSpacing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bottom"/>
          </w:tcPr>
          <w:p w14:paraId="0ED5580B" w14:textId="2DCC7811" w:rsidR="00E364E5" w:rsidRDefault="00E364E5" w:rsidP="00E364E5">
            <w:pPr>
              <w:contextualSpacing/>
              <w:jc w:val="center"/>
            </w:pPr>
            <w:r>
              <w:rPr>
                <w:rFonts w:cs="Arial"/>
                <w:sz w:val="20"/>
                <w:szCs w:val="20"/>
              </w:rPr>
              <w:t>2.97</w:t>
            </w:r>
          </w:p>
        </w:tc>
        <w:tc>
          <w:tcPr>
            <w:tcW w:w="237" w:type="dxa"/>
            <w:tcBorders>
              <w:top w:val="single" w:sz="4" w:space="0" w:color="auto"/>
            </w:tcBorders>
          </w:tcPr>
          <w:p w14:paraId="53AC6C8E" w14:textId="77777777" w:rsidR="00E364E5" w:rsidRDefault="00E364E5" w:rsidP="00E364E5">
            <w:pPr>
              <w:contextualSpacing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</w:tcBorders>
            <w:vAlign w:val="bottom"/>
          </w:tcPr>
          <w:p w14:paraId="299F6734" w14:textId="1826EF55" w:rsidR="00E364E5" w:rsidRDefault="00E364E5" w:rsidP="00E364E5">
            <w:pPr>
              <w:contextualSpacing/>
              <w:jc w:val="center"/>
            </w:pPr>
            <w:r>
              <w:rPr>
                <w:rFonts w:cs="Arial"/>
                <w:sz w:val="20"/>
                <w:szCs w:val="20"/>
              </w:rPr>
              <w:t>3.08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bottom"/>
          </w:tcPr>
          <w:p w14:paraId="6346FB1F" w14:textId="410DDF72" w:rsidR="00E364E5" w:rsidRDefault="00E364E5" w:rsidP="00E364E5">
            <w:pPr>
              <w:contextualSpacing/>
              <w:jc w:val="center"/>
            </w:pPr>
            <w:r>
              <w:rPr>
                <w:rFonts w:cs="Arial"/>
                <w:sz w:val="20"/>
                <w:szCs w:val="20"/>
              </w:rPr>
              <w:t>0.35</w:t>
            </w:r>
          </w:p>
        </w:tc>
      </w:tr>
      <w:tr w:rsidR="00E364E5" w14:paraId="13681709" w14:textId="77777777" w:rsidTr="00E364E5">
        <w:trPr>
          <w:jc w:val="center"/>
        </w:trPr>
        <w:tc>
          <w:tcPr>
            <w:tcW w:w="1606" w:type="dxa"/>
            <w:vAlign w:val="center"/>
          </w:tcPr>
          <w:p w14:paraId="2D1E35C4" w14:textId="17B867A5" w:rsidR="00E364E5" w:rsidRDefault="00E364E5" w:rsidP="00E364E5">
            <w:pPr>
              <w:contextualSpacing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11" w:type="dxa"/>
            <w:vAlign w:val="bottom"/>
          </w:tcPr>
          <w:p w14:paraId="7B017A7D" w14:textId="2235F85D" w:rsidR="00E364E5" w:rsidRDefault="00E364E5" w:rsidP="00E364E5">
            <w:pPr>
              <w:contextualSpacing/>
              <w:jc w:val="center"/>
            </w:pPr>
            <w:r>
              <w:rPr>
                <w:rFonts w:cs="Arial"/>
                <w:sz w:val="20"/>
                <w:szCs w:val="20"/>
              </w:rPr>
              <w:t>3.05</w:t>
            </w:r>
          </w:p>
        </w:tc>
        <w:tc>
          <w:tcPr>
            <w:tcW w:w="237" w:type="dxa"/>
          </w:tcPr>
          <w:p w14:paraId="273B34D5" w14:textId="77777777" w:rsidR="00E364E5" w:rsidRDefault="00E364E5" w:rsidP="00E364E5">
            <w:pPr>
              <w:contextualSpacing/>
              <w:jc w:val="center"/>
            </w:pPr>
          </w:p>
        </w:tc>
        <w:tc>
          <w:tcPr>
            <w:tcW w:w="1532" w:type="dxa"/>
            <w:vAlign w:val="bottom"/>
          </w:tcPr>
          <w:p w14:paraId="02C508E5" w14:textId="0B85DACF" w:rsidR="00E364E5" w:rsidRDefault="00E364E5" w:rsidP="00E364E5">
            <w:pPr>
              <w:contextualSpacing/>
              <w:jc w:val="center"/>
            </w:pPr>
            <w:r>
              <w:rPr>
                <w:rFonts w:cs="Arial"/>
                <w:sz w:val="20"/>
                <w:szCs w:val="20"/>
              </w:rPr>
              <w:t>3.09</w:t>
            </w:r>
          </w:p>
        </w:tc>
        <w:tc>
          <w:tcPr>
            <w:tcW w:w="1829" w:type="dxa"/>
            <w:vAlign w:val="bottom"/>
          </w:tcPr>
          <w:p w14:paraId="5BF2F9DA" w14:textId="7CDE2F72" w:rsidR="00E364E5" w:rsidRDefault="00E364E5" w:rsidP="00E364E5">
            <w:pPr>
              <w:contextualSpacing/>
              <w:jc w:val="center"/>
            </w:pPr>
            <w:r>
              <w:rPr>
                <w:rFonts w:cs="Arial"/>
                <w:sz w:val="20"/>
                <w:szCs w:val="20"/>
              </w:rPr>
              <w:t>0.35</w:t>
            </w:r>
          </w:p>
        </w:tc>
      </w:tr>
      <w:tr w:rsidR="00E364E5" w14:paraId="50D47669" w14:textId="77777777" w:rsidTr="00E364E5">
        <w:trPr>
          <w:jc w:val="center"/>
        </w:trPr>
        <w:tc>
          <w:tcPr>
            <w:tcW w:w="1606" w:type="dxa"/>
            <w:vAlign w:val="center"/>
          </w:tcPr>
          <w:p w14:paraId="1B4881E6" w14:textId="0F3C53D3" w:rsidR="00E364E5" w:rsidRDefault="00E364E5" w:rsidP="00E364E5">
            <w:pPr>
              <w:contextualSpacing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11" w:type="dxa"/>
            <w:vAlign w:val="bottom"/>
          </w:tcPr>
          <w:p w14:paraId="47AC0EEC" w14:textId="79410C93" w:rsidR="00E364E5" w:rsidRDefault="00E364E5" w:rsidP="00E364E5">
            <w:pPr>
              <w:contextualSpacing/>
              <w:jc w:val="center"/>
            </w:pPr>
            <w:r>
              <w:rPr>
                <w:rFonts w:cs="Arial"/>
                <w:sz w:val="20"/>
                <w:szCs w:val="20"/>
              </w:rPr>
              <w:t>4.9</w:t>
            </w:r>
          </w:p>
        </w:tc>
        <w:tc>
          <w:tcPr>
            <w:tcW w:w="237" w:type="dxa"/>
          </w:tcPr>
          <w:p w14:paraId="1C9405B7" w14:textId="77777777" w:rsidR="00E364E5" w:rsidRDefault="00E364E5" w:rsidP="00E364E5">
            <w:pPr>
              <w:contextualSpacing/>
              <w:jc w:val="center"/>
            </w:pPr>
          </w:p>
        </w:tc>
        <w:tc>
          <w:tcPr>
            <w:tcW w:w="1532" w:type="dxa"/>
            <w:vAlign w:val="bottom"/>
          </w:tcPr>
          <w:p w14:paraId="2EC560AE" w14:textId="4F8C519F" w:rsidR="00E364E5" w:rsidRDefault="00E364E5" w:rsidP="00E364E5">
            <w:pPr>
              <w:contextualSpacing/>
              <w:jc w:val="center"/>
            </w:pPr>
            <w:r>
              <w:rPr>
                <w:rFonts w:cs="Arial"/>
                <w:sz w:val="20"/>
                <w:szCs w:val="20"/>
              </w:rPr>
              <w:t>5.25</w:t>
            </w:r>
          </w:p>
        </w:tc>
        <w:tc>
          <w:tcPr>
            <w:tcW w:w="1829" w:type="dxa"/>
            <w:vAlign w:val="bottom"/>
          </w:tcPr>
          <w:p w14:paraId="651AD118" w14:textId="663CCAAF" w:rsidR="00E364E5" w:rsidRDefault="00E364E5" w:rsidP="00E364E5">
            <w:pPr>
              <w:contextualSpacing/>
              <w:jc w:val="center"/>
            </w:pPr>
            <w:r>
              <w:rPr>
                <w:rFonts w:cs="Arial"/>
                <w:sz w:val="20"/>
                <w:szCs w:val="20"/>
              </w:rPr>
              <w:t>0.59</w:t>
            </w:r>
          </w:p>
        </w:tc>
      </w:tr>
      <w:tr w:rsidR="00E364E5" w14:paraId="476F9B50" w14:textId="77777777" w:rsidTr="00E364E5">
        <w:trPr>
          <w:jc w:val="center"/>
        </w:trPr>
        <w:tc>
          <w:tcPr>
            <w:tcW w:w="1606" w:type="dxa"/>
            <w:vAlign w:val="center"/>
          </w:tcPr>
          <w:p w14:paraId="5E6AB3EE" w14:textId="45387EDB" w:rsidR="00E364E5" w:rsidRDefault="00E364E5" w:rsidP="00E364E5">
            <w:pPr>
              <w:contextualSpacing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11" w:type="dxa"/>
            <w:vAlign w:val="bottom"/>
          </w:tcPr>
          <w:p w14:paraId="3E8590EC" w14:textId="236764E3" w:rsidR="00E364E5" w:rsidRDefault="00E364E5" w:rsidP="00E364E5">
            <w:pPr>
              <w:contextualSpacing/>
              <w:jc w:val="center"/>
            </w:pPr>
            <w:r>
              <w:rPr>
                <w:rFonts w:cs="Arial"/>
                <w:sz w:val="20"/>
                <w:szCs w:val="20"/>
              </w:rPr>
              <w:t>7.01</w:t>
            </w:r>
          </w:p>
        </w:tc>
        <w:tc>
          <w:tcPr>
            <w:tcW w:w="237" w:type="dxa"/>
          </w:tcPr>
          <w:p w14:paraId="56FE8BC7" w14:textId="77777777" w:rsidR="00E364E5" w:rsidRDefault="00E364E5" w:rsidP="00E364E5">
            <w:pPr>
              <w:contextualSpacing/>
              <w:jc w:val="center"/>
            </w:pPr>
          </w:p>
        </w:tc>
        <w:tc>
          <w:tcPr>
            <w:tcW w:w="1532" w:type="dxa"/>
            <w:vAlign w:val="bottom"/>
          </w:tcPr>
          <w:p w14:paraId="251570F2" w14:textId="50961D53" w:rsidR="00E364E5" w:rsidRDefault="00E364E5" w:rsidP="00E364E5">
            <w:pPr>
              <w:contextualSpacing/>
              <w:jc w:val="center"/>
            </w:pPr>
            <w:r>
              <w:rPr>
                <w:rFonts w:cs="Arial"/>
                <w:sz w:val="20"/>
                <w:szCs w:val="20"/>
              </w:rPr>
              <w:t>7.45</w:t>
            </w:r>
          </w:p>
        </w:tc>
        <w:tc>
          <w:tcPr>
            <w:tcW w:w="1829" w:type="dxa"/>
            <w:vAlign w:val="bottom"/>
          </w:tcPr>
          <w:p w14:paraId="429ACB21" w14:textId="29EFD038" w:rsidR="00E364E5" w:rsidRDefault="00E364E5" w:rsidP="00E364E5">
            <w:pPr>
              <w:contextualSpacing/>
              <w:jc w:val="center"/>
            </w:pPr>
            <w:r>
              <w:rPr>
                <w:rFonts w:cs="Arial"/>
                <w:sz w:val="20"/>
                <w:szCs w:val="20"/>
              </w:rPr>
              <w:t>0.83</w:t>
            </w:r>
          </w:p>
        </w:tc>
      </w:tr>
      <w:tr w:rsidR="00E364E5" w14:paraId="2F9F9F27" w14:textId="77777777" w:rsidTr="00E364E5">
        <w:trPr>
          <w:jc w:val="center"/>
        </w:trPr>
        <w:tc>
          <w:tcPr>
            <w:tcW w:w="1606" w:type="dxa"/>
            <w:vAlign w:val="center"/>
          </w:tcPr>
          <w:p w14:paraId="01CF7B2E" w14:textId="7013D0BA" w:rsidR="00E364E5" w:rsidRDefault="00E364E5" w:rsidP="00E364E5">
            <w:pPr>
              <w:contextualSpacing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711" w:type="dxa"/>
            <w:vAlign w:val="bottom"/>
          </w:tcPr>
          <w:p w14:paraId="0FB54FCF" w14:textId="433B6E59" w:rsidR="00E364E5" w:rsidRDefault="00E364E5" w:rsidP="00E364E5">
            <w:pPr>
              <w:contextualSpacing/>
              <w:jc w:val="center"/>
            </w:pPr>
            <w:r>
              <w:rPr>
                <w:rFonts w:cs="Arial"/>
                <w:sz w:val="20"/>
                <w:szCs w:val="20"/>
              </w:rPr>
              <w:t>9.9</w:t>
            </w:r>
          </w:p>
        </w:tc>
        <w:tc>
          <w:tcPr>
            <w:tcW w:w="237" w:type="dxa"/>
          </w:tcPr>
          <w:p w14:paraId="33B0BECE" w14:textId="77777777" w:rsidR="00E364E5" w:rsidRDefault="00E364E5" w:rsidP="00E364E5">
            <w:pPr>
              <w:contextualSpacing/>
              <w:jc w:val="center"/>
            </w:pPr>
          </w:p>
        </w:tc>
        <w:tc>
          <w:tcPr>
            <w:tcW w:w="1532" w:type="dxa"/>
            <w:vAlign w:val="bottom"/>
          </w:tcPr>
          <w:p w14:paraId="39C35F3D" w14:textId="5A05330F" w:rsidR="00E364E5" w:rsidRDefault="00E364E5" w:rsidP="00E364E5">
            <w:pPr>
              <w:contextualSpacing/>
              <w:jc w:val="center"/>
            </w:pPr>
            <w:r>
              <w:rPr>
                <w:rFonts w:cs="Arial"/>
                <w:sz w:val="20"/>
                <w:szCs w:val="20"/>
              </w:rPr>
              <w:t>10.3</w:t>
            </w:r>
          </w:p>
        </w:tc>
        <w:tc>
          <w:tcPr>
            <w:tcW w:w="1829" w:type="dxa"/>
            <w:vAlign w:val="bottom"/>
          </w:tcPr>
          <w:p w14:paraId="172989FE" w14:textId="1484A16A" w:rsidR="00E364E5" w:rsidRDefault="00E364E5" w:rsidP="00E364E5">
            <w:pPr>
              <w:contextualSpacing/>
              <w:jc w:val="center"/>
            </w:pPr>
            <w:r>
              <w:rPr>
                <w:rFonts w:cs="Arial"/>
                <w:sz w:val="20"/>
                <w:szCs w:val="20"/>
              </w:rPr>
              <w:t>2.04</w:t>
            </w:r>
          </w:p>
        </w:tc>
      </w:tr>
      <w:tr w:rsidR="00E364E5" w14:paraId="15C0D37E" w14:textId="77777777" w:rsidTr="00E364E5">
        <w:trPr>
          <w:jc w:val="center"/>
        </w:trPr>
        <w:tc>
          <w:tcPr>
            <w:tcW w:w="1606" w:type="dxa"/>
            <w:vAlign w:val="center"/>
          </w:tcPr>
          <w:p w14:paraId="70932FDE" w14:textId="3F31269D" w:rsidR="00E364E5" w:rsidRPr="00B709A8" w:rsidRDefault="00E364E5" w:rsidP="00E364E5">
            <w:pPr>
              <w:contextualSpacing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711" w:type="dxa"/>
            <w:vAlign w:val="bottom"/>
          </w:tcPr>
          <w:p w14:paraId="59A044E5" w14:textId="5BA33D55" w:rsidR="00E364E5" w:rsidRPr="00B709A8" w:rsidRDefault="00E364E5" w:rsidP="00E364E5">
            <w:pPr>
              <w:contextualSpacing/>
              <w:jc w:val="center"/>
            </w:pPr>
            <w:r>
              <w:rPr>
                <w:rFonts w:cs="Arial"/>
                <w:sz w:val="20"/>
                <w:szCs w:val="20"/>
              </w:rPr>
              <w:t>10.13</w:t>
            </w:r>
          </w:p>
        </w:tc>
        <w:tc>
          <w:tcPr>
            <w:tcW w:w="237" w:type="dxa"/>
          </w:tcPr>
          <w:p w14:paraId="1D9358E4" w14:textId="77777777" w:rsidR="00E364E5" w:rsidRDefault="00E364E5" w:rsidP="00E364E5">
            <w:pPr>
              <w:contextualSpacing/>
              <w:jc w:val="center"/>
            </w:pPr>
          </w:p>
        </w:tc>
        <w:tc>
          <w:tcPr>
            <w:tcW w:w="1532" w:type="dxa"/>
            <w:vAlign w:val="bottom"/>
          </w:tcPr>
          <w:p w14:paraId="747FD8BC" w14:textId="2074E017" w:rsidR="00E364E5" w:rsidRDefault="00E364E5" w:rsidP="00E364E5">
            <w:pPr>
              <w:contextualSpacing/>
              <w:jc w:val="center"/>
            </w:pPr>
            <w:r>
              <w:rPr>
                <w:rFonts w:cs="Arial"/>
                <w:sz w:val="20"/>
                <w:szCs w:val="20"/>
              </w:rPr>
              <w:t>10.8</w:t>
            </w:r>
          </w:p>
        </w:tc>
        <w:tc>
          <w:tcPr>
            <w:tcW w:w="1829" w:type="dxa"/>
            <w:vAlign w:val="bottom"/>
          </w:tcPr>
          <w:p w14:paraId="67AA9270" w14:textId="3EC58FA6" w:rsidR="00E364E5" w:rsidRPr="00B709A8" w:rsidRDefault="00E364E5" w:rsidP="00E364E5">
            <w:pPr>
              <w:contextualSpacing/>
              <w:jc w:val="center"/>
            </w:pPr>
            <w:r>
              <w:rPr>
                <w:rFonts w:cs="Arial"/>
                <w:sz w:val="20"/>
                <w:szCs w:val="20"/>
              </w:rPr>
              <w:t>5.51</w:t>
            </w:r>
          </w:p>
        </w:tc>
      </w:tr>
      <w:tr w:rsidR="00E364E5" w14:paraId="682711E1" w14:textId="77777777" w:rsidTr="00E364E5">
        <w:trPr>
          <w:jc w:val="center"/>
        </w:trPr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19E8B956" w14:textId="3C249D1C" w:rsidR="00E364E5" w:rsidRPr="00B709A8" w:rsidRDefault="00E364E5" w:rsidP="00E364E5">
            <w:pPr>
              <w:contextualSpacing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14:paraId="101AE1C0" w14:textId="63AC11CA" w:rsidR="00E364E5" w:rsidRPr="00B709A8" w:rsidRDefault="00E364E5" w:rsidP="00E364E5">
            <w:pPr>
              <w:contextualSpacing/>
              <w:jc w:val="center"/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1D94F84A" w14:textId="77777777" w:rsidR="00E364E5" w:rsidRDefault="00E364E5" w:rsidP="00E364E5">
            <w:pPr>
              <w:contextualSpacing/>
              <w:jc w:val="center"/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vAlign w:val="bottom"/>
          </w:tcPr>
          <w:p w14:paraId="72533D7E" w14:textId="5B334B52" w:rsidR="00E364E5" w:rsidRDefault="00E364E5" w:rsidP="00E364E5">
            <w:pPr>
              <w:contextualSpacing/>
              <w:jc w:val="center"/>
            </w:pPr>
            <w:r>
              <w:rPr>
                <w:rFonts w:cs="Arial"/>
                <w:sz w:val="20"/>
                <w:szCs w:val="20"/>
              </w:rPr>
              <w:t>5.58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14:paraId="7E6AF432" w14:textId="59DD79EE" w:rsidR="00E364E5" w:rsidRPr="00B709A8" w:rsidRDefault="00E364E5" w:rsidP="00E364E5">
            <w:pPr>
              <w:contextualSpacing/>
              <w:jc w:val="center"/>
            </w:pPr>
            <w:r>
              <w:rPr>
                <w:rFonts w:cs="Arial"/>
                <w:sz w:val="20"/>
                <w:szCs w:val="20"/>
              </w:rPr>
              <w:t>10.77</w:t>
            </w:r>
          </w:p>
        </w:tc>
      </w:tr>
    </w:tbl>
    <w:p w14:paraId="272E34C5" w14:textId="77777777" w:rsidR="00432020" w:rsidRDefault="00432020" w:rsidP="009F5BC7">
      <w:pPr>
        <w:spacing w:after="0"/>
        <w:contextualSpacing/>
        <w:jc w:val="center"/>
      </w:pPr>
    </w:p>
    <w:sectPr w:rsidR="00432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745F4"/>
    <w:multiLevelType w:val="multilevel"/>
    <w:tmpl w:val="06FAF4C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EB56E81"/>
    <w:multiLevelType w:val="multilevel"/>
    <w:tmpl w:val="0F72EE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C7"/>
    <w:rsid w:val="00174DAB"/>
    <w:rsid w:val="00432020"/>
    <w:rsid w:val="006A73B5"/>
    <w:rsid w:val="008370F3"/>
    <w:rsid w:val="00895E1A"/>
    <w:rsid w:val="008B73AB"/>
    <w:rsid w:val="009F5BC7"/>
    <w:rsid w:val="00A401A0"/>
    <w:rsid w:val="00C545AB"/>
    <w:rsid w:val="00D032B9"/>
    <w:rsid w:val="00E3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FD01"/>
  <w15:chartTrackingRefBased/>
  <w15:docId w15:val="{E6125FC2-857F-48B0-A1DA-2732F922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">
    <w:name w:val="Heading2"/>
    <w:basedOn w:val="ListParagraph"/>
    <w:link w:val="Heading2Char"/>
    <w:autoRedefine/>
    <w:qFormat/>
    <w:rsid w:val="00C545AB"/>
    <w:pPr>
      <w:numPr>
        <w:ilvl w:val="1"/>
        <w:numId w:val="2"/>
      </w:numPr>
      <w:spacing w:after="0" w:line="360" w:lineRule="auto"/>
      <w:jc w:val="both"/>
      <w:outlineLvl w:val="1"/>
    </w:pPr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Heading2Char">
    <w:name w:val="Heading2 Char"/>
    <w:basedOn w:val="DefaultParagraphFont"/>
    <w:link w:val="Heading2"/>
    <w:rsid w:val="00C545AB"/>
    <w:rPr>
      <w:rFonts w:ascii="Calibri" w:eastAsiaTheme="majorEastAsia" w:hAnsi="Calibri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C545AB"/>
    <w:pPr>
      <w:ind w:left="720"/>
      <w:contextualSpacing/>
    </w:pPr>
  </w:style>
  <w:style w:type="paragraph" w:customStyle="1" w:styleId="Heading1">
    <w:name w:val="Heading1"/>
    <w:basedOn w:val="ListParagraph"/>
    <w:link w:val="Heading1Char"/>
    <w:autoRedefine/>
    <w:qFormat/>
    <w:rsid w:val="00C545AB"/>
    <w:pPr>
      <w:numPr>
        <w:numId w:val="3"/>
      </w:numPr>
      <w:spacing w:after="0" w:line="360" w:lineRule="auto"/>
      <w:ind w:left="357" w:hanging="357"/>
      <w:jc w:val="both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Heading1Char">
    <w:name w:val="Heading1 Char"/>
    <w:basedOn w:val="DefaultParagraphFont"/>
    <w:link w:val="Heading1"/>
    <w:rsid w:val="00C545AB"/>
    <w:rPr>
      <w:rFonts w:ascii="Calibri" w:eastAsiaTheme="majorEastAsia" w:hAnsi="Calibri" w:cstheme="majorBidi"/>
      <w:b/>
      <w:bCs/>
      <w:sz w:val="24"/>
      <w:szCs w:val="28"/>
    </w:rPr>
  </w:style>
  <w:style w:type="table" w:styleId="TableGrid">
    <w:name w:val="Table Grid"/>
    <w:basedOn w:val="TableNormal"/>
    <w:uiPriority w:val="39"/>
    <w:rsid w:val="009F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Giannitsopoulos, Michail</dc:creator>
  <cp:keywords/>
  <dc:description/>
  <cp:lastModifiedBy>Giannitsopoulos, Michail</cp:lastModifiedBy>
  <cp:revision>9</cp:revision>
  <dcterms:created xsi:type="dcterms:W3CDTF">2022-06-27T14:51:00Z</dcterms:created>
  <dcterms:modified xsi:type="dcterms:W3CDTF">2022-06-27T16:02:00Z</dcterms:modified>
</cp:coreProperties>
</file>