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D65441" w:rsidP="00D65441" w:rsidRDefault="00D65441" w14:paraId="69CD8A79" w14:textId="77777777">
      <w:pPr>
        <w:pStyle w:val="Title"/>
      </w:pPr>
      <w:r>
        <w:t xml:space="preserve">Economics of Business Strategy (ECBS) Module Assignment </w:t>
      </w:r>
    </w:p>
    <w:p w:rsidRPr="00620D06" w:rsidR="00D65441" w:rsidP="00D65441" w:rsidRDefault="00D65441" w14:paraId="0D463EFE" w14:textId="77777777"/>
    <w:p w:rsidRPr="00E1390C" w:rsidR="00D65441" w:rsidP="00D65441" w:rsidRDefault="00D65441" w14:paraId="5AEB537D" w14:textId="77777777">
      <w:pPr>
        <w:pStyle w:val="Heading1"/>
        <w:rPr>
          <w:color w:val="633E88"/>
          <w:sz w:val="44"/>
          <w:szCs w:val="44"/>
        </w:rPr>
      </w:pPr>
      <w:bookmarkStart w:name="_Toc100696374" w:id="0"/>
      <w:bookmarkStart w:name="_Toc101213516" w:id="1"/>
      <w:bookmarkStart w:name="_Toc101217890" w:id="2"/>
      <w:bookmarkStart w:name="_Toc101615952" w:id="3"/>
      <w:bookmarkStart w:name="_Toc101616009" w:id="4"/>
      <w:bookmarkStart w:name="_Toc101697577" w:id="5"/>
      <w:bookmarkStart w:name="_Toc110957136" w:id="6"/>
      <w:bookmarkStart w:name="_Toc110979663" w:id="7"/>
      <w:bookmarkStart w:name="_Toc110980024" w:id="8"/>
      <w:bookmarkStart w:name="_Toc110980108" w:id="9"/>
      <w:bookmarkStart w:name="_Toc110980494" w:id="10"/>
      <w:bookmarkStart w:name="_Toc112354116" w:id="11"/>
      <w:bookmarkStart w:name="_Toc112354156" w:id="12"/>
      <w:bookmarkStart w:name="_Toc113316102" w:id="13"/>
      <w:r w:rsidRPr="00E1390C">
        <w:rPr>
          <w:color w:val="633E88"/>
          <w:sz w:val="44"/>
          <w:szCs w:val="44"/>
        </w:rPr>
        <w:t>GROUP REPORT (BLUE 1)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7D0CEC" w:rsidRDefault="007D0CEC" w14:paraId="5865594A" w14:textId="0B6C9054">
      <w:pPr>
        <w:rPr>
          <w:rFonts w:ascii="Arial" w:hAnsi="Arial" w:eastAsiaTheme="majorEastAsia" w:cstheme="majorBidi"/>
          <w:b/>
          <w:bCs/>
          <w:color w:val="0C406D"/>
          <w:sz w:val="36"/>
          <w:szCs w:val="36"/>
        </w:rPr>
      </w:pPr>
    </w:p>
    <w:p w:rsidR="00D65441" w:rsidRDefault="00D65441" w14:paraId="5EE9A4EE" w14:textId="4FA97318">
      <w:pPr>
        <w:rPr>
          <w:rFonts w:ascii="Arial" w:hAnsi="Arial" w:eastAsiaTheme="majorEastAsia" w:cstheme="majorBidi"/>
          <w:b/>
          <w:bCs/>
          <w:color w:val="0C406D"/>
          <w:sz w:val="36"/>
          <w:szCs w:val="36"/>
        </w:rPr>
      </w:pPr>
      <w:r>
        <w:rPr>
          <w:rFonts w:ascii="Arial" w:hAnsi="Arial" w:eastAsiaTheme="majorEastAsia" w:cstheme="majorBidi"/>
          <w:b/>
          <w:bCs/>
          <w:color w:val="0C406D"/>
          <w:sz w:val="36"/>
          <w:szCs w:val="36"/>
        </w:rPr>
        <w:t>Appendix – Section B</w:t>
      </w:r>
    </w:p>
    <w:p w:rsidRPr="001969AB" w:rsidR="00605F81" w:rsidP="44FB75B1" w:rsidRDefault="352B5204" w14:paraId="0DC338CF" w14:textId="77D3FF24">
      <w:pPr>
        <w:rPr>
          <w:rFonts w:ascii="Arial" w:hAnsi="Arial" w:eastAsia="" w:cs="" w:eastAsiaTheme="majorEastAsia" w:cstheme="majorBidi"/>
          <w:b w:val="1"/>
          <w:bCs w:val="1"/>
          <w:color w:val="0C406D"/>
          <w:sz w:val="36"/>
          <w:szCs w:val="36"/>
        </w:rPr>
      </w:pPr>
      <w:proofErr w:type="spellStart"/>
      <w:r w:rsidRPr="44FB75B1" w:rsidR="352B5204">
        <w:rPr>
          <w:rFonts w:ascii="Arial" w:hAnsi="Arial" w:eastAsia="" w:cs="" w:eastAsiaTheme="majorEastAsia" w:cstheme="majorBidi"/>
          <w:b w:val="1"/>
          <w:bCs w:val="1"/>
          <w:color w:val="0C406D"/>
          <w:sz w:val="36"/>
          <w:szCs w:val="36"/>
        </w:rPr>
        <w:t>BioTech</w:t>
      </w:r>
      <w:proofErr w:type="spellEnd"/>
      <w:r w:rsidRPr="44FB75B1" w:rsidR="352B5204">
        <w:rPr>
          <w:rFonts w:ascii="Arial" w:hAnsi="Arial" w:eastAsia="" w:cs="" w:eastAsiaTheme="majorEastAsia" w:cstheme="majorBidi"/>
          <w:b w:val="1"/>
          <w:bCs w:val="1"/>
          <w:color w:val="0C406D"/>
          <w:sz w:val="36"/>
          <w:szCs w:val="36"/>
        </w:rPr>
        <w:t xml:space="preserve"> Case </w:t>
      </w:r>
      <w:r w:rsidRPr="44FB75B1" w:rsidR="352B5204">
        <w:rPr>
          <w:rFonts w:ascii="Arial" w:hAnsi="Arial" w:eastAsia="" w:cs="" w:eastAsiaTheme="majorEastAsia" w:cstheme="majorBidi"/>
          <w:b w:val="1"/>
          <w:bCs w:val="1"/>
          <w:color w:val="0C406D"/>
          <w:sz w:val="36"/>
          <w:szCs w:val="36"/>
        </w:rPr>
        <w:t xml:space="preserve">Study </w:t>
      </w:r>
      <w:r w:rsidRPr="44FB75B1" w:rsidR="00605F81">
        <w:rPr>
          <w:rFonts w:ascii="Arial" w:hAnsi="Arial" w:eastAsia="" w:cs="" w:eastAsiaTheme="majorEastAsia" w:cstheme="majorBidi"/>
          <w:b w:val="1"/>
          <w:bCs w:val="1"/>
          <w:color w:val="0C406D"/>
          <w:sz w:val="36"/>
          <w:szCs w:val="36"/>
        </w:rPr>
        <w:t>–</w:t>
      </w:r>
      <w:r w:rsidRPr="44FB75B1" w:rsidR="00605F81">
        <w:rPr>
          <w:rFonts w:ascii="Arial" w:hAnsi="Arial" w:eastAsia="" w:cs="" w:eastAsiaTheme="majorEastAsia" w:cstheme="majorBidi"/>
          <w:b w:val="1"/>
          <w:bCs w:val="1"/>
          <w:color w:val="0C406D"/>
          <w:sz w:val="36"/>
          <w:szCs w:val="36"/>
        </w:rPr>
        <w:t xml:space="preserve"> </w:t>
      </w:r>
      <w:proofErr w:type="spellStart"/>
      <w:r w:rsidRPr="44FB75B1" w:rsidR="00605F81">
        <w:rPr>
          <w:rFonts w:ascii="Arial" w:hAnsi="Arial" w:eastAsia="" w:cs="" w:eastAsiaTheme="majorEastAsia" w:cstheme="majorBidi"/>
          <w:b w:val="1"/>
          <w:bCs w:val="1"/>
          <w:color w:val="0C406D"/>
          <w:sz w:val="36"/>
          <w:szCs w:val="36"/>
        </w:rPr>
        <w:t>Immunocore</w:t>
      </w:r>
      <w:proofErr w:type="spellEnd"/>
      <w:r w:rsidRPr="44FB75B1" w:rsidR="3F976FC1">
        <w:rPr>
          <w:rFonts w:ascii="Arial" w:hAnsi="Arial" w:eastAsia="" w:cs="" w:eastAsiaTheme="majorEastAsia" w:cstheme="majorBidi"/>
          <w:b w:val="1"/>
          <w:bCs w:val="1"/>
          <w:color w:val="0C406D"/>
          <w:sz w:val="36"/>
          <w:szCs w:val="36"/>
        </w:rPr>
        <w:t>: Similar or different from GSK?</w:t>
      </w:r>
    </w:p>
    <w:p w:rsidRPr="00F77A4B" w:rsidR="001969AB" w:rsidP="001969AB" w:rsidRDefault="00605F81" w14:paraId="6BF0D6CA" w14:textId="338A07C8">
      <w:pPr>
        <w:jc w:val="both"/>
        <w:rPr>
          <w:rFonts w:ascii="Arial" w:hAnsi="Arial" w:eastAsia="Times New Roman" w:cstheme="majorBidi"/>
          <w:b/>
          <w:color w:val="442B58"/>
          <w:sz w:val="28"/>
          <w:szCs w:val="28"/>
          <w:shd w:val="clear" w:color="auto" w:fill="FCFCFC"/>
          <w:lang w:eastAsia="en-GB"/>
        </w:rPr>
      </w:pPr>
      <w:r w:rsidRPr="00F77A4B">
        <w:rPr>
          <w:rFonts w:ascii="Arial" w:hAnsi="Arial" w:eastAsia="Times New Roman" w:cstheme="majorBidi"/>
          <w:b/>
          <w:color w:val="442B58"/>
          <w:sz w:val="28"/>
          <w:szCs w:val="28"/>
          <w:shd w:val="clear" w:color="auto" w:fill="FCFCFC"/>
          <w:lang w:eastAsia="en-GB"/>
        </w:rPr>
        <w:t>Company Brief</w:t>
      </w:r>
    </w:p>
    <w:p w:rsidRPr="008067D2" w:rsidR="00605F81" w:rsidP="001969AB" w:rsidRDefault="002765ED" w14:paraId="20B07D3C" w14:textId="75F24FE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067D2">
        <w:rPr>
          <w:rFonts w:ascii="Arial" w:hAnsi="Arial" w:cs="Arial"/>
          <w:sz w:val="24"/>
          <w:szCs w:val="24"/>
        </w:rPr>
        <w:t>Immunocore</w:t>
      </w:r>
      <w:proofErr w:type="spellEnd"/>
      <w:r w:rsidRPr="008067D2">
        <w:rPr>
          <w:rFonts w:ascii="Arial" w:hAnsi="Arial" w:cs="Arial"/>
          <w:sz w:val="24"/>
          <w:szCs w:val="24"/>
        </w:rPr>
        <w:t xml:space="preserve"> is</w:t>
      </w:r>
      <w:r w:rsidRPr="008067D2" w:rsidR="00537B0C">
        <w:rPr>
          <w:rFonts w:ascii="Arial" w:hAnsi="Arial" w:cs="Arial"/>
          <w:sz w:val="24"/>
          <w:szCs w:val="24"/>
        </w:rPr>
        <w:t xml:space="preserve"> a commercial-stage biotechnology company pioneering the development of a novel class of TCR bispecific immunotherapies called </w:t>
      </w:r>
      <w:proofErr w:type="spellStart"/>
      <w:r w:rsidRPr="008067D2" w:rsidR="00537B0C">
        <w:rPr>
          <w:rFonts w:ascii="Arial" w:hAnsi="Arial" w:cs="Arial"/>
          <w:sz w:val="24"/>
          <w:szCs w:val="24"/>
        </w:rPr>
        <w:t>ImmTAX</w:t>
      </w:r>
      <w:proofErr w:type="spellEnd"/>
      <w:r w:rsidRPr="008067D2" w:rsidR="00537B0C">
        <w:rPr>
          <w:rFonts w:ascii="Arial" w:hAnsi="Arial" w:cs="Arial"/>
          <w:sz w:val="24"/>
          <w:szCs w:val="24"/>
        </w:rPr>
        <w:t xml:space="preserve"> – Immune mobilizing monoclonal TCRs Against X disease – designed to treat a broad range of diseases, including cancer, infectious and autoimmune. Leveraging our proprietary, flexible, off-the-shelf </w:t>
      </w:r>
      <w:proofErr w:type="spellStart"/>
      <w:r w:rsidRPr="008067D2" w:rsidR="00537B0C">
        <w:rPr>
          <w:rFonts w:ascii="Arial" w:hAnsi="Arial" w:cs="Arial"/>
          <w:sz w:val="24"/>
          <w:szCs w:val="24"/>
        </w:rPr>
        <w:t>ImmTAX</w:t>
      </w:r>
      <w:proofErr w:type="spellEnd"/>
      <w:r w:rsidRPr="008067D2" w:rsidR="00537B0C">
        <w:rPr>
          <w:rFonts w:ascii="Arial" w:hAnsi="Arial" w:cs="Arial"/>
          <w:sz w:val="24"/>
          <w:szCs w:val="24"/>
        </w:rPr>
        <w:t xml:space="preserve"> platform, </w:t>
      </w:r>
      <w:r w:rsidRPr="008067D2" w:rsidR="007E79B5">
        <w:rPr>
          <w:rFonts w:ascii="Arial" w:hAnsi="Arial" w:cs="Arial"/>
          <w:sz w:val="24"/>
          <w:szCs w:val="24"/>
        </w:rPr>
        <w:t>it is</w:t>
      </w:r>
      <w:r w:rsidRPr="008067D2" w:rsidR="00537B0C">
        <w:rPr>
          <w:rFonts w:ascii="Arial" w:hAnsi="Arial" w:cs="Arial"/>
          <w:sz w:val="24"/>
          <w:szCs w:val="24"/>
        </w:rPr>
        <w:t xml:space="preserve"> developing a deep pipeline in multiple therapeutic areas, including five clinical stage programs in oncology and infectious disease, advanced pre-clinical programs in autoimmune disease and multiple earlier pre-clinical programs.</w:t>
      </w:r>
    </w:p>
    <w:p w:rsidRPr="008067D2" w:rsidR="0064681B" w:rsidP="00537B0C" w:rsidRDefault="0064681B" w14:paraId="37221688" w14:textId="67D8F89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067D2">
        <w:rPr>
          <w:rFonts w:ascii="Arial" w:hAnsi="Arial" w:cs="Arial"/>
          <w:sz w:val="24"/>
          <w:szCs w:val="24"/>
        </w:rPr>
        <w:t>Immunocore</w:t>
      </w:r>
      <w:proofErr w:type="spellEnd"/>
      <w:r w:rsidRPr="008067D2">
        <w:rPr>
          <w:rFonts w:ascii="Arial" w:hAnsi="Arial" w:cs="Arial"/>
          <w:sz w:val="24"/>
          <w:szCs w:val="24"/>
        </w:rPr>
        <w:t xml:space="preserve"> has received </w:t>
      </w:r>
      <w:r w:rsidRPr="008067D2" w:rsidR="0028663C">
        <w:rPr>
          <w:rFonts w:ascii="Arial" w:hAnsi="Arial" w:cs="Arial"/>
          <w:sz w:val="24"/>
          <w:szCs w:val="24"/>
        </w:rPr>
        <w:t xml:space="preserve">FDA approval for </w:t>
      </w:r>
      <w:r w:rsidRPr="008067D2" w:rsidR="00CA530B">
        <w:rPr>
          <w:rFonts w:ascii="Arial" w:hAnsi="Arial" w:cs="Arial"/>
          <w:sz w:val="24"/>
          <w:szCs w:val="24"/>
        </w:rPr>
        <w:t>its lead product.</w:t>
      </w:r>
    </w:p>
    <w:p w:rsidRPr="008067D2" w:rsidR="00E1655C" w:rsidP="00537B0C" w:rsidRDefault="00E1655C" w14:paraId="58C33938" w14:textId="67558471">
      <w:pPr>
        <w:jc w:val="both"/>
        <w:rPr>
          <w:rFonts w:ascii="Arial" w:hAnsi="Arial" w:cs="Arial"/>
          <w:sz w:val="24"/>
          <w:szCs w:val="24"/>
        </w:rPr>
      </w:pPr>
      <w:r w:rsidRPr="008067D2">
        <w:rPr>
          <w:rFonts w:ascii="Arial" w:hAnsi="Arial" w:cs="Arial"/>
          <w:sz w:val="24"/>
          <w:szCs w:val="24"/>
        </w:rPr>
        <w:t>Collaborated with GSK</w:t>
      </w:r>
      <w:r w:rsidRPr="008067D2" w:rsidR="00A97307">
        <w:rPr>
          <w:rFonts w:ascii="Arial" w:hAnsi="Arial" w:cs="Arial"/>
          <w:sz w:val="24"/>
          <w:szCs w:val="24"/>
        </w:rPr>
        <w:t xml:space="preserve">’s </w:t>
      </w:r>
      <w:r w:rsidRPr="008067D2" w:rsidR="00A1655D">
        <w:rPr>
          <w:rFonts w:ascii="Arial" w:hAnsi="Arial" w:cs="Arial"/>
          <w:sz w:val="24"/>
          <w:szCs w:val="24"/>
        </w:rPr>
        <w:t>GSK Intellectual Property Development</w:t>
      </w:r>
      <w:r w:rsidRPr="008067D2">
        <w:rPr>
          <w:rFonts w:ascii="Arial" w:hAnsi="Arial" w:cs="Arial"/>
          <w:sz w:val="24"/>
          <w:szCs w:val="24"/>
        </w:rPr>
        <w:t xml:space="preserve"> from 2013 to 2021</w:t>
      </w:r>
      <w:r w:rsidRPr="008067D2" w:rsidR="00A1655D">
        <w:rPr>
          <w:rFonts w:ascii="Arial" w:hAnsi="Arial" w:cs="Arial"/>
          <w:sz w:val="24"/>
          <w:szCs w:val="24"/>
        </w:rPr>
        <w:t xml:space="preserve"> on </w:t>
      </w:r>
      <w:r w:rsidRPr="008067D2" w:rsidR="00497006">
        <w:rPr>
          <w:rFonts w:ascii="Arial" w:hAnsi="Arial" w:cs="Arial"/>
          <w:sz w:val="24"/>
          <w:szCs w:val="24"/>
        </w:rPr>
        <w:t xml:space="preserve">the development of </w:t>
      </w:r>
      <w:r w:rsidRPr="008067D2" w:rsidR="0069424F">
        <w:rPr>
          <w:rFonts w:ascii="Arial" w:hAnsi="Arial" w:cs="Arial"/>
          <w:sz w:val="24"/>
          <w:szCs w:val="24"/>
        </w:rPr>
        <w:t>certain pharma compounds.</w:t>
      </w:r>
    </w:p>
    <w:p w:rsidRPr="005E1172" w:rsidR="00605F81" w:rsidP="00605F81" w:rsidRDefault="00F91A23" w14:paraId="677DDA0B" w14:textId="1BC1A7C9">
      <w:pPr>
        <w:jc w:val="both"/>
        <w:rPr>
          <w:rFonts w:ascii="Arial" w:hAnsi="Arial" w:eastAsia="Times New Roman" w:cstheme="majorBidi"/>
          <w:b/>
          <w:color w:val="442B58"/>
          <w:sz w:val="28"/>
          <w:szCs w:val="28"/>
          <w:shd w:val="clear" w:color="auto" w:fill="FCFCFC"/>
          <w:lang w:eastAsia="en-GB"/>
        </w:rPr>
      </w:pPr>
      <w:r w:rsidRPr="005E1172">
        <w:rPr>
          <w:rFonts w:ascii="Arial" w:hAnsi="Arial" w:eastAsia="Times New Roman" w:cstheme="majorBidi"/>
          <w:b/>
          <w:color w:val="442B58"/>
          <w:sz w:val="28"/>
          <w:szCs w:val="28"/>
          <w:shd w:val="clear" w:color="auto" w:fill="FCFCFC"/>
          <w:lang w:eastAsia="en-GB"/>
        </w:rPr>
        <w:t>Company Strategy</w:t>
      </w:r>
    </w:p>
    <w:p w:rsidRPr="008067D2" w:rsidR="0052399B" w:rsidP="00321BE6" w:rsidRDefault="00321BE6" w14:paraId="0CC2368C" w14:textId="711F1142">
      <w:pPr>
        <w:jc w:val="both"/>
        <w:rPr>
          <w:rFonts w:ascii="Arial" w:hAnsi="Arial" w:cs="Arial"/>
          <w:sz w:val="24"/>
          <w:szCs w:val="24"/>
        </w:rPr>
      </w:pPr>
      <w:r w:rsidRPr="008067D2">
        <w:rPr>
          <w:rFonts w:ascii="Arial" w:hAnsi="Arial" w:cs="Arial"/>
          <w:sz w:val="24"/>
          <w:szCs w:val="24"/>
        </w:rPr>
        <w:t xml:space="preserve">The company’s vision is to build a global </w:t>
      </w:r>
      <w:r w:rsidRPr="008067D2" w:rsidR="00CA530B">
        <w:rPr>
          <w:rFonts w:ascii="Arial" w:hAnsi="Arial" w:cs="Arial"/>
          <w:sz w:val="24"/>
          <w:szCs w:val="24"/>
        </w:rPr>
        <w:pgNum/>
      </w:r>
      <w:r w:rsidRPr="008067D2" w:rsidR="00177360">
        <w:rPr>
          <w:rFonts w:ascii="Arial" w:hAnsi="Arial" w:cs="Arial"/>
          <w:sz w:val="24"/>
          <w:szCs w:val="24"/>
        </w:rPr>
        <w:t>i</w:t>
      </w:r>
      <w:r w:rsidRPr="008067D2" w:rsidR="00CA530B">
        <w:rPr>
          <w:rFonts w:ascii="Arial" w:hAnsi="Arial" w:cs="Arial"/>
          <w:sz w:val="24"/>
          <w:szCs w:val="24"/>
        </w:rPr>
        <w:t>mmune</w:t>
      </w:r>
      <w:r w:rsidRPr="008067D2">
        <w:rPr>
          <w:rFonts w:ascii="Arial" w:hAnsi="Arial" w:cs="Arial"/>
          <w:sz w:val="24"/>
          <w:szCs w:val="24"/>
        </w:rPr>
        <w:t xml:space="preserve">-therapy business with a portfolio of therapeutics that have the potential to beneficially impact the clinical outcomes of patients across a broad range of diseases, </w:t>
      </w:r>
      <w:r w:rsidRPr="008067D2">
        <w:rPr>
          <w:rFonts w:ascii="Arial" w:hAnsi="Arial" w:cs="Arial"/>
          <w:b/>
          <w:bCs/>
          <w:i/>
          <w:iCs/>
          <w:sz w:val="24"/>
          <w:szCs w:val="24"/>
        </w:rPr>
        <w:t>with a near-term focus on the treatment of cancer, infectious and autoimmune diseases</w:t>
      </w:r>
      <w:r w:rsidRPr="008067D2">
        <w:rPr>
          <w:rFonts w:ascii="Arial" w:hAnsi="Arial" w:cs="Arial"/>
          <w:sz w:val="24"/>
          <w:szCs w:val="24"/>
        </w:rPr>
        <w:t xml:space="preserve">. </w:t>
      </w:r>
    </w:p>
    <w:p w:rsidRPr="008067D2" w:rsidR="00304F51" w:rsidP="00321BE6" w:rsidRDefault="002E0AF3" w14:paraId="6FBADB17" w14:textId="4179E92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067D2">
        <w:rPr>
          <w:rFonts w:ascii="Arial" w:hAnsi="Arial" w:cs="Arial"/>
          <w:sz w:val="24"/>
          <w:szCs w:val="24"/>
        </w:rPr>
        <w:t>Immunocore</w:t>
      </w:r>
      <w:proofErr w:type="spellEnd"/>
      <w:r w:rsidRPr="008067D2">
        <w:rPr>
          <w:rFonts w:ascii="Arial" w:hAnsi="Arial" w:cs="Arial"/>
          <w:sz w:val="24"/>
          <w:szCs w:val="24"/>
        </w:rPr>
        <w:t xml:space="preserve"> does the R&amp;D and develops the </w:t>
      </w:r>
      <w:r w:rsidRPr="008067D2" w:rsidR="00021750">
        <w:rPr>
          <w:rFonts w:ascii="Arial" w:hAnsi="Arial" w:cs="Arial"/>
          <w:sz w:val="24"/>
          <w:szCs w:val="24"/>
        </w:rPr>
        <w:t xml:space="preserve">product formulation.  It </w:t>
      </w:r>
      <w:r w:rsidRPr="008067D2" w:rsidR="00976E9D">
        <w:rPr>
          <w:rFonts w:ascii="Arial" w:hAnsi="Arial" w:cs="Arial"/>
          <w:sz w:val="24"/>
          <w:szCs w:val="24"/>
        </w:rPr>
        <w:t xml:space="preserve">does not undertake the actual </w:t>
      </w:r>
      <w:r w:rsidRPr="008067D2" w:rsidR="00314716">
        <w:rPr>
          <w:rFonts w:ascii="Arial" w:hAnsi="Arial" w:cs="Arial"/>
          <w:sz w:val="24"/>
          <w:szCs w:val="24"/>
        </w:rPr>
        <w:t>production;</w:t>
      </w:r>
      <w:r w:rsidRPr="008067D2" w:rsidR="00976E9D">
        <w:rPr>
          <w:rFonts w:ascii="Arial" w:hAnsi="Arial" w:cs="Arial"/>
          <w:sz w:val="24"/>
          <w:szCs w:val="24"/>
        </w:rPr>
        <w:t xml:space="preserve"> </w:t>
      </w:r>
      <w:r w:rsidRPr="008067D2" w:rsidR="00AB6ACE">
        <w:rPr>
          <w:rFonts w:ascii="Arial" w:hAnsi="Arial" w:cs="Arial"/>
          <w:sz w:val="24"/>
          <w:szCs w:val="24"/>
        </w:rPr>
        <w:t>it uses</w:t>
      </w:r>
      <w:r w:rsidRPr="008067D2" w:rsidR="00021750">
        <w:rPr>
          <w:rFonts w:ascii="Arial" w:hAnsi="Arial" w:cs="Arial"/>
          <w:sz w:val="24"/>
          <w:szCs w:val="24"/>
        </w:rPr>
        <w:t xml:space="preserve"> </w:t>
      </w:r>
      <w:r w:rsidRPr="008067D2" w:rsidR="001D5C2F">
        <w:rPr>
          <w:rFonts w:ascii="Arial" w:hAnsi="Arial" w:cs="Arial"/>
          <w:sz w:val="24"/>
          <w:szCs w:val="24"/>
        </w:rPr>
        <w:t>contract manufacturing organisations which handle the</w:t>
      </w:r>
      <w:r w:rsidRPr="008067D2" w:rsidR="00AB6ACE">
        <w:rPr>
          <w:rFonts w:ascii="Arial" w:hAnsi="Arial" w:cs="Arial"/>
          <w:sz w:val="24"/>
          <w:szCs w:val="24"/>
        </w:rPr>
        <w:t xml:space="preserve"> production</w:t>
      </w:r>
      <w:r w:rsidRPr="008067D2" w:rsidR="0095399D">
        <w:rPr>
          <w:rFonts w:ascii="Arial" w:hAnsi="Arial" w:cs="Arial"/>
          <w:sz w:val="24"/>
          <w:szCs w:val="24"/>
        </w:rPr>
        <w:t>. DHL</w:t>
      </w:r>
      <w:r w:rsidRPr="008067D2" w:rsidR="00CD5249">
        <w:rPr>
          <w:rFonts w:ascii="Arial" w:hAnsi="Arial" w:cs="Arial"/>
          <w:sz w:val="24"/>
          <w:szCs w:val="24"/>
        </w:rPr>
        <w:t xml:space="preserve"> and Integrated C</w:t>
      </w:r>
      <w:r w:rsidRPr="008067D2" w:rsidR="00314716">
        <w:rPr>
          <w:rFonts w:ascii="Arial" w:hAnsi="Arial" w:cs="Arial"/>
          <w:sz w:val="24"/>
          <w:szCs w:val="24"/>
        </w:rPr>
        <w:t>o</w:t>
      </w:r>
      <w:r w:rsidRPr="008067D2" w:rsidR="00CD5249">
        <w:rPr>
          <w:rFonts w:ascii="Arial" w:hAnsi="Arial" w:cs="Arial"/>
          <w:sz w:val="24"/>
          <w:szCs w:val="24"/>
        </w:rPr>
        <w:t>mme</w:t>
      </w:r>
      <w:r w:rsidRPr="008067D2" w:rsidR="00314716">
        <w:rPr>
          <w:rFonts w:ascii="Arial" w:hAnsi="Arial" w:cs="Arial"/>
          <w:sz w:val="24"/>
          <w:szCs w:val="24"/>
        </w:rPr>
        <w:t>rcialization Solutions</w:t>
      </w:r>
      <w:r w:rsidRPr="008067D2" w:rsidR="0095399D">
        <w:rPr>
          <w:rFonts w:ascii="Arial" w:hAnsi="Arial" w:cs="Arial"/>
          <w:sz w:val="24"/>
          <w:szCs w:val="24"/>
        </w:rPr>
        <w:t xml:space="preserve"> provide the storage, global distribution, </w:t>
      </w:r>
      <w:proofErr w:type="gramStart"/>
      <w:r w:rsidRPr="008067D2" w:rsidR="00CD5249">
        <w:rPr>
          <w:rFonts w:ascii="Arial" w:hAnsi="Arial" w:cs="Arial"/>
          <w:sz w:val="24"/>
          <w:szCs w:val="24"/>
        </w:rPr>
        <w:t>packaging</w:t>
      </w:r>
      <w:proofErr w:type="gramEnd"/>
      <w:r w:rsidRPr="008067D2" w:rsidR="00CD5249">
        <w:rPr>
          <w:rFonts w:ascii="Arial" w:hAnsi="Arial" w:cs="Arial"/>
          <w:sz w:val="24"/>
          <w:szCs w:val="24"/>
        </w:rPr>
        <w:t xml:space="preserve"> and labelling services.</w:t>
      </w:r>
    </w:p>
    <w:p w:rsidRPr="008067D2" w:rsidR="005050E0" w:rsidP="00321BE6" w:rsidRDefault="005050E0" w14:paraId="733538A5" w14:textId="412F4682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8067D2">
        <w:rPr>
          <w:rFonts w:ascii="Arial" w:hAnsi="Arial" w:cs="Arial"/>
          <w:b/>
          <w:bCs/>
          <w:i/>
          <w:iCs/>
          <w:sz w:val="24"/>
          <w:szCs w:val="24"/>
        </w:rPr>
        <w:t xml:space="preserve">It recognises that dues to its more limited financial </w:t>
      </w:r>
      <w:r w:rsidRPr="008067D2" w:rsidR="00234DCE">
        <w:rPr>
          <w:rFonts w:ascii="Arial" w:hAnsi="Arial" w:cs="Arial"/>
          <w:b/>
          <w:bCs/>
          <w:i/>
          <w:iCs/>
          <w:sz w:val="24"/>
          <w:szCs w:val="24"/>
        </w:rPr>
        <w:t xml:space="preserve">capabilities and size, it may be overtaken to market in its core areas by other better funded large </w:t>
      </w:r>
      <w:r w:rsidRPr="008067D2" w:rsidR="00AC777F">
        <w:rPr>
          <w:rFonts w:ascii="Arial" w:hAnsi="Arial" w:cs="Arial"/>
          <w:b/>
          <w:bCs/>
          <w:i/>
          <w:iCs/>
          <w:sz w:val="24"/>
          <w:szCs w:val="24"/>
        </w:rPr>
        <w:t>organisations, or smaller organisations with strong financial partnerships.</w:t>
      </w:r>
    </w:p>
    <w:p w:rsidRPr="005E1172" w:rsidR="00304F51" w:rsidP="00321BE6" w:rsidRDefault="00304F51" w14:paraId="6F9868DE" w14:textId="54F51767">
      <w:pPr>
        <w:jc w:val="both"/>
        <w:rPr>
          <w:rFonts w:ascii="Arial" w:hAnsi="Arial" w:eastAsia="Times New Roman" w:cstheme="majorBidi"/>
          <w:b/>
          <w:color w:val="442B58"/>
          <w:sz w:val="28"/>
          <w:szCs w:val="28"/>
          <w:shd w:val="clear" w:color="auto" w:fill="FCFCFC"/>
          <w:lang w:eastAsia="en-GB"/>
        </w:rPr>
      </w:pPr>
      <w:r w:rsidRPr="005E1172">
        <w:rPr>
          <w:rFonts w:ascii="Arial" w:hAnsi="Arial" w:eastAsia="Times New Roman" w:cstheme="majorBidi"/>
          <w:b/>
          <w:color w:val="442B58"/>
          <w:sz w:val="28"/>
          <w:szCs w:val="28"/>
          <w:shd w:val="clear" w:color="auto" w:fill="FCFCFC"/>
          <w:lang w:eastAsia="en-GB"/>
        </w:rPr>
        <w:lastRenderedPageBreak/>
        <w:t>Steps to Reali</w:t>
      </w:r>
      <w:r w:rsidR="0019450C">
        <w:rPr>
          <w:rFonts w:ascii="Arial" w:hAnsi="Arial" w:eastAsia="Times New Roman" w:cstheme="majorBidi"/>
          <w:b/>
          <w:color w:val="442B58"/>
          <w:sz w:val="28"/>
          <w:szCs w:val="28"/>
          <w:shd w:val="clear" w:color="auto" w:fill="FCFCFC"/>
          <w:lang w:eastAsia="en-GB"/>
        </w:rPr>
        <w:t>s</w:t>
      </w:r>
      <w:r w:rsidRPr="005E1172">
        <w:rPr>
          <w:rFonts w:ascii="Arial" w:hAnsi="Arial" w:eastAsia="Times New Roman" w:cstheme="majorBidi"/>
          <w:b/>
          <w:color w:val="442B58"/>
          <w:sz w:val="28"/>
          <w:szCs w:val="28"/>
          <w:shd w:val="clear" w:color="auto" w:fill="FCFCFC"/>
          <w:lang w:eastAsia="en-GB"/>
        </w:rPr>
        <w:t xml:space="preserve">e Strategy </w:t>
      </w:r>
    </w:p>
    <w:p w:rsidRPr="008067D2" w:rsidR="000D35CF" w:rsidP="00321BE6" w:rsidRDefault="000D35CF" w14:paraId="278D24E4" w14:textId="5E531E3E">
      <w:pPr>
        <w:jc w:val="both"/>
        <w:rPr>
          <w:rFonts w:ascii="Arial" w:hAnsi="Arial" w:eastAsia="Times New Roman" w:cs="Arial"/>
          <w:b/>
          <w:color w:val="442B58"/>
          <w:sz w:val="24"/>
          <w:szCs w:val="24"/>
          <w:shd w:val="clear" w:color="auto" w:fill="FCFCFC"/>
          <w:lang w:eastAsia="en-GB"/>
        </w:rPr>
      </w:pPr>
      <w:r w:rsidRPr="008067D2">
        <w:rPr>
          <w:rFonts w:ascii="Arial" w:hAnsi="Arial" w:eastAsia="Times New Roman" w:cs="Arial"/>
          <w:b/>
          <w:color w:val="442B58"/>
          <w:sz w:val="24"/>
          <w:szCs w:val="24"/>
          <w:shd w:val="clear" w:color="auto" w:fill="FCFCFC"/>
          <w:lang w:eastAsia="en-GB"/>
        </w:rPr>
        <w:t>Permitting</w:t>
      </w:r>
    </w:p>
    <w:p w:rsidRPr="008067D2" w:rsidR="001E6C26" w:rsidP="00CA530B" w:rsidRDefault="00CA530B" w14:paraId="649BB486" w14:textId="2E416C3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067D2">
        <w:rPr>
          <w:rFonts w:ascii="Arial" w:hAnsi="Arial" w:cs="Arial"/>
          <w:sz w:val="24"/>
          <w:szCs w:val="24"/>
        </w:rPr>
        <w:t>Immunocore</w:t>
      </w:r>
      <w:proofErr w:type="spellEnd"/>
      <w:r w:rsidRPr="008067D2">
        <w:rPr>
          <w:rFonts w:ascii="Arial" w:hAnsi="Arial" w:cs="Arial"/>
          <w:sz w:val="24"/>
          <w:szCs w:val="24"/>
        </w:rPr>
        <w:t xml:space="preserve"> intends to seek </w:t>
      </w:r>
      <w:r w:rsidRPr="008067D2" w:rsidR="00190D73">
        <w:rPr>
          <w:rFonts w:ascii="Arial" w:hAnsi="Arial" w:cs="Arial"/>
          <w:sz w:val="24"/>
          <w:szCs w:val="24"/>
        </w:rPr>
        <w:t xml:space="preserve">regulatory approval in Europe and beyond for its </w:t>
      </w:r>
      <w:r w:rsidRPr="008067D2" w:rsidR="008A57D9">
        <w:rPr>
          <w:rFonts w:ascii="Arial" w:hAnsi="Arial" w:cs="Arial"/>
          <w:sz w:val="24"/>
          <w:szCs w:val="24"/>
        </w:rPr>
        <w:t>lead product (KIMMTRAK)</w:t>
      </w:r>
      <w:r w:rsidRPr="008067D2" w:rsidR="00DB7F91">
        <w:rPr>
          <w:rFonts w:ascii="Arial" w:hAnsi="Arial" w:cs="Arial"/>
          <w:sz w:val="24"/>
          <w:szCs w:val="24"/>
        </w:rPr>
        <w:t>.</w:t>
      </w:r>
    </w:p>
    <w:p w:rsidRPr="008067D2" w:rsidR="00C3066F" w:rsidP="00CA530B" w:rsidRDefault="00C3066F" w14:paraId="5CDE9D52" w14:textId="46EEE5B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067D2">
        <w:rPr>
          <w:rFonts w:ascii="Arial" w:hAnsi="Arial" w:cs="Arial"/>
          <w:sz w:val="24"/>
          <w:szCs w:val="24"/>
        </w:rPr>
        <w:t xml:space="preserve">It has submitted </w:t>
      </w:r>
      <w:r w:rsidRPr="008067D2" w:rsidR="003F5B87">
        <w:rPr>
          <w:rFonts w:ascii="Arial" w:hAnsi="Arial" w:cs="Arial"/>
          <w:sz w:val="24"/>
          <w:szCs w:val="24"/>
        </w:rPr>
        <w:t xml:space="preserve">marketing authorisation applications in the UK, Canada, </w:t>
      </w:r>
      <w:r w:rsidRPr="008067D2" w:rsidR="00B20A5C">
        <w:rPr>
          <w:rFonts w:ascii="Arial" w:hAnsi="Arial" w:cs="Arial"/>
          <w:sz w:val="24"/>
          <w:szCs w:val="24"/>
        </w:rPr>
        <w:t>and Australia.</w:t>
      </w:r>
    </w:p>
    <w:p w:rsidRPr="008067D2" w:rsidR="00D36815" w:rsidP="00D36815" w:rsidRDefault="003709AF" w14:paraId="79ACB559" w14:textId="1B81BEAB">
      <w:pPr>
        <w:jc w:val="both"/>
        <w:rPr>
          <w:rFonts w:ascii="Arial" w:hAnsi="Arial" w:eastAsia="Times New Roman" w:cs="Arial"/>
          <w:b/>
          <w:color w:val="442B58"/>
          <w:sz w:val="24"/>
          <w:szCs w:val="24"/>
          <w:shd w:val="clear" w:color="auto" w:fill="FCFCFC"/>
          <w:lang w:eastAsia="en-GB"/>
        </w:rPr>
      </w:pPr>
      <w:r w:rsidRPr="008067D2">
        <w:rPr>
          <w:rFonts w:ascii="Arial" w:hAnsi="Arial" w:eastAsia="Times New Roman" w:cs="Arial"/>
          <w:b/>
          <w:color w:val="442B58"/>
          <w:sz w:val="24"/>
          <w:szCs w:val="24"/>
          <w:shd w:val="clear" w:color="auto" w:fill="FCFCFC"/>
          <w:lang w:eastAsia="en-GB"/>
        </w:rPr>
        <w:t>Product Development</w:t>
      </w:r>
    </w:p>
    <w:p w:rsidRPr="008067D2" w:rsidR="006215F3" w:rsidP="00CA530B" w:rsidRDefault="006215F3" w14:paraId="7E7E3D91" w14:textId="6BCB243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067D2">
        <w:rPr>
          <w:rFonts w:ascii="Arial" w:hAnsi="Arial" w:cs="Arial"/>
          <w:sz w:val="24"/>
          <w:szCs w:val="24"/>
        </w:rPr>
        <w:t>It is progressing</w:t>
      </w:r>
      <w:r w:rsidRPr="008067D2" w:rsidR="001433C1">
        <w:rPr>
          <w:rFonts w:ascii="Arial" w:hAnsi="Arial" w:cs="Arial"/>
          <w:sz w:val="24"/>
          <w:szCs w:val="24"/>
        </w:rPr>
        <w:t xml:space="preserve"> clinical</w:t>
      </w:r>
      <w:r w:rsidRPr="008067D2">
        <w:rPr>
          <w:rFonts w:ascii="Arial" w:hAnsi="Arial" w:cs="Arial"/>
          <w:sz w:val="24"/>
          <w:szCs w:val="24"/>
        </w:rPr>
        <w:t xml:space="preserve"> trials on </w:t>
      </w:r>
      <w:r w:rsidRPr="008067D2" w:rsidR="00233E6C">
        <w:rPr>
          <w:rFonts w:ascii="Arial" w:hAnsi="Arial" w:cs="Arial"/>
          <w:sz w:val="24"/>
          <w:szCs w:val="24"/>
        </w:rPr>
        <w:t xml:space="preserve">other oncology pharmaceuticals </w:t>
      </w:r>
      <w:r w:rsidRPr="008067D2" w:rsidR="001433C1">
        <w:rPr>
          <w:rFonts w:ascii="Arial" w:hAnsi="Arial" w:cs="Arial"/>
          <w:sz w:val="24"/>
          <w:szCs w:val="24"/>
        </w:rPr>
        <w:t>in its portfolio.</w:t>
      </w:r>
    </w:p>
    <w:p w:rsidRPr="008067D2" w:rsidR="00D36815" w:rsidP="00D36815" w:rsidRDefault="00015411" w14:paraId="678DF038" w14:textId="0BC2A51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067D2">
        <w:rPr>
          <w:rFonts w:ascii="Arial" w:hAnsi="Arial" w:cs="Arial"/>
          <w:sz w:val="24"/>
          <w:szCs w:val="24"/>
        </w:rPr>
        <w:t xml:space="preserve">It is developing </w:t>
      </w:r>
      <w:r w:rsidRPr="008067D2" w:rsidR="00AC7033">
        <w:rPr>
          <w:rFonts w:ascii="Arial" w:hAnsi="Arial" w:cs="Arial"/>
          <w:sz w:val="24"/>
          <w:szCs w:val="24"/>
        </w:rPr>
        <w:t>solutions for infectious diseases including HIV and Hep. B.</w:t>
      </w:r>
    </w:p>
    <w:p w:rsidRPr="008067D2" w:rsidR="003709AF" w:rsidP="003709AF" w:rsidRDefault="003709AF" w14:paraId="55FC0306" w14:textId="5B7C618A">
      <w:pPr>
        <w:jc w:val="both"/>
        <w:rPr>
          <w:rFonts w:ascii="Arial" w:hAnsi="Arial" w:eastAsia="Times New Roman" w:cs="Arial"/>
          <w:b/>
          <w:color w:val="442B58"/>
          <w:sz w:val="24"/>
          <w:szCs w:val="24"/>
          <w:shd w:val="clear" w:color="auto" w:fill="FCFCFC"/>
          <w:lang w:eastAsia="en-GB"/>
        </w:rPr>
      </w:pPr>
      <w:r w:rsidRPr="008067D2">
        <w:rPr>
          <w:rFonts w:ascii="Arial" w:hAnsi="Arial" w:eastAsia="Times New Roman" w:cs="Arial"/>
          <w:b/>
          <w:color w:val="442B58"/>
          <w:sz w:val="24"/>
          <w:szCs w:val="24"/>
          <w:shd w:val="clear" w:color="auto" w:fill="FCFCFC"/>
          <w:lang w:eastAsia="en-GB"/>
        </w:rPr>
        <w:t>Financing</w:t>
      </w:r>
    </w:p>
    <w:p w:rsidRPr="008067D2" w:rsidR="003709AF" w:rsidP="003709AF" w:rsidRDefault="003709AF" w14:paraId="238D42A2" w14:textId="3BA18CB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067D2">
        <w:rPr>
          <w:rFonts w:ascii="Arial" w:hAnsi="Arial" w:cs="Arial"/>
          <w:sz w:val="24"/>
          <w:szCs w:val="24"/>
        </w:rPr>
        <w:t>Immunocore</w:t>
      </w:r>
      <w:proofErr w:type="spellEnd"/>
      <w:r w:rsidRPr="008067D2">
        <w:rPr>
          <w:rFonts w:ascii="Arial" w:hAnsi="Arial" w:cs="Arial"/>
          <w:sz w:val="24"/>
          <w:szCs w:val="24"/>
        </w:rPr>
        <w:t xml:space="preserve"> raised around $300 million in 2021 from an</w:t>
      </w:r>
      <w:r w:rsidRPr="008067D2" w:rsidR="00A44444">
        <w:rPr>
          <w:rFonts w:ascii="Arial" w:hAnsi="Arial" w:cs="Arial"/>
          <w:sz w:val="24"/>
          <w:szCs w:val="24"/>
        </w:rPr>
        <w:t xml:space="preserve"> IPO and private placement.</w:t>
      </w:r>
    </w:p>
    <w:p w:rsidRPr="008067D2" w:rsidR="0021064A" w:rsidP="0021064A" w:rsidRDefault="0021064A" w14:paraId="196D2608" w14:textId="2F75DF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067D2">
        <w:rPr>
          <w:rFonts w:ascii="Arial" w:hAnsi="Arial" w:cs="Arial"/>
          <w:sz w:val="24"/>
          <w:szCs w:val="24"/>
        </w:rPr>
        <w:t>In discussions to obtain third-party payor coverage policies from US commercial underwriters.</w:t>
      </w:r>
    </w:p>
    <w:p w:rsidRPr="008067D2" w:rsidR="0021064A" w:rsidP="0021064A" w:rsidRDefault="0021064A" w14:paraId="40CD73F8" w14:textId="075DDDC5">
      <w:pPr>
        <w:jc w:val="both"/>
        <w:rPr>
          <w:rFonts w:ascii="Arial" w:hAnsi="Arial" w:eastAsia="Times New Roman" w:cs="Arial"/>
          <w:b/>
          <w:color w:val="442B58"/>
          <w:sz w:val="24"/>
          <w:szCs w:val="24"/>
          <w:shd w:val="clear" w:color="auto" w:fill="FCFCFC"/>
          <w:lang w:eastAsia="en-GB"/>
        </w:rPr>
      </w:pPr>
      <w:r w:rsidRPr="008067D2">
        <w:rPr>
          <w:rFonts w:ascii="Arial" w:hAnsi="Arial" w:eastAsia="Times New Roman" w:cs="Arial"/>
          <w:b/>
          <w:color w:val="442B58"/>
          <w:sz w:val="24"/>
          <w:szCs w:val="24"/>
          <w:shd w:val="clear" w:color="auto" w:fill="FCFCFC"/>
          <w:lang w:eastAsia="en-GB"/>
        </w:rPr>
        <w:t>Intellectual Property</w:t>
      </w:r>
    </w:p>
    <w:p w:rsidRPr="008067D2" w:rsidR="0021064A" w:rsidP="0021064A" w:rsidRDefault="0021064A" w14:paraId="48CE5260" w14:textId="2A44DAA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067D2">
        <w:rPr>
          <w:rFonts w:ascii="Arial" w:hAnsi="Arial" w:cs="Arial"/>
          <w:sz w:val="24"/>
          <w:szCs w:val="24"/>
        </w:rPr>
        <w:t>Seeks to protect its proprietary position by filing patent applications in territories that are commercially important to it.</w:t>
      </w:r>
    </w:p>
    <w:p w:rsidRPr="008067D2" w:rsidR="00D24BF9" w:rsidP="00321BE6" w:rsidRDefault="00704226" w14:paraId="23F9597D" w14:textId="083E6E20">
      <w:pPr>
        <w:jc w:val="both"/>
        <w:rPr>
          <w:rFonts w:ascii="Arial" w:hAnsi="Arial" w:eastAsia="Times New Roman" w:cs="Arial"/>
          <w:b/>
          <w:color w:val="442B58"/>
          <w:sz w:val="24"/>
          <w:szCs w:val="24"/>
          <w:shd w:val="clear" w:color="auto" w:fill="FCFCFC"/>
          <w:lang w:eastAsia="en-GB"/>
        </w:rPr>
      </w:pPr>
      <w:r w:rsidRPr="008067D2">
        <w:rPr>
          <w:rFonts w:ascii="Arial" w:hAnsi="Arial" w:eastAsia="Times New Roman" w:cs="Arial"/>
          <w:b/>
          <w:color w:val="442B58"/>
          <w:sz w:val="24"/>
          <w:szCs w:val="24"/>
          <w:shd w:val="clear" w:color="auto" w:fill="FCFCFC"/>
          <w:lang w:eastAsia="en-GB"/>
        </w:rPr>
        <w:t>Sales and Marketing</w:t>
      </w:r>
    </w:p>
    <w:p w:rsidRPr="008067D2" w:rsidR="00704226" w:rsidP="00321BE6" w:rsidRDefault="00704226" w14:paraId="6299E2B7" w14:textId="09CA34B5">
      <w:pPr>
        <w:jc w:val="both"/>
        <w:rPr>
          <w:rFonts w:ascii="Arial" w:hAnsi="Arial" w:cs="Arial"/>
          <w:sz w:val="24"/>
          <w:szCs w:val="24"/>
        </w:rPr>
      </w:pPr>
      <w:r w:rsidRPr="008067D2">
        <w:rPr>
          <w:rFonts w:ascii="Arial" w:hAnsi="Arial" w:cs="Arial"/>
          <w:sz w:val="24"/>
          <w:szCs w:val="24"/>
        </w:rPr>
        <w:t xml:space="preserve">Done using </w:t>
      </w:r>
      <w:r w:rsidRPr="008067D2" w:rsidR="00D50E4B">
        <w:rPr>
          <w:rFonts w:ascii="Arial" w:hAnsi="Arial" w:cs="Arial"/>
          <w:sz w:val="24"/>
          <w:szCs w:val="24"/>
        </w:rPr>
        <w:t xml:space="preserve">a hybrid model that includes in-house and contracted resources in the United States and Europe. It </w:t>
      </w:r>
      <w:proofErr w:type="gramStart"/>
      <w:r w:rsidRPr="008067D2" w:rsidR="00D50E4B">
        <w:rPr>
          <w:rFonts w:ascii="Arial" w:hAnsi="Arial" w:cs="Arial"/>
          <w:sz w:val="24"/>
          <w:szCs w:val="24"/>
        </w:rPr>
        <w:t>entered into</w:t>
      </w:r>
      <w:proofErr w:type="gramEnd"/>
      <w:r w:rsidRPr="008067D2" w:rsidR="00D50E4B">
        <w:rPr>
          <w:rFonts w:ascii="Arial" w:hAnsi="Arial" w:cs="Arial"/>
          <w:sz w:val="24"/>
          <w:szCs w:val="24"/>
        </w:rPr>
        <w:t xml:space="preserve"> a strategic partnership with </w:t>
      </w:r>
      <w:proofErr w:type="spellStart"/>
      <w:r w:rsidRPr="008067D2" w:rsidR="00D50E4B">
        <w:rPr>
          <w:rFonts w:ascii="Arial" w:hAnsi="Arial" w:cs="Arial"/>
          <w:sz w:val="24"/>
          <w:szCs w:val="24"/>
        </w:rPr>
        <w:t>Syneos</w:t>
      </w:r>
      <w:proofErr w:type="spellEnd"/>
      <w:r w:rsidRPr="008067D2" w:rsidR="00D50E4B">
        <w:rPr>
          <w:rFonts w:ascii="Arial" w:hAnsi="Arial" w:cs="Arial"/>
          <w:sz w:val="24"/>
          <w:szCs w:val="24"/>
        </w:rPr>
        <w:t xml:space="preserve"> Health, Inc. and an exclusive multi-regional agreement with </w:t>
      </w:r>
      <w:proofErr w:type="spellStart"/>
      <w:r w:rsidRPr="008067D2" w:rsidR="00D50E4B">
        <w:rPr>
          <w:rFonts w:ascii="Arial" w:hAnsi="Arial" w:cs="Arial"/>
          <w:sz w:val="24"/>
          <w:szCs w:val="24"/>
        </w:rPr>
        <w:t>Medison</w:t>
      </w:r>
      <w:proofErr w:type="spellEnd"/>
      <w:r w:rsidRPr="008067D2" w:rsidR="00D50E4B">
        <w:rPr>
          <w:rFonts w:ascii="Arial" w:hAnsi="Arial" w:cs="Arial"/>
          <w:sz w:val="24"/>
          <w:szCs w:val="24"/>
        </w:rPr>
        <w:t xml:space="preserve"> Pharma to help seek regulatory authorization and commercialize </w:t>
      </w:r>
      <w:proofErr w:type="spellStart"/>
      <w:r w:rsidRPr="008067D2" w:rsidR="00D50E4B">
        <w:rPr>
          <w:rFonts w:ascii="Arial" w:hAnsi="Arial" w:cs="Arial"/>
          <w:sz w:val="24"/>
          <w:szCs w:val="24"/>
        </w:rPr>
        <w:t>Immunocore’s</w:t>
      </w:r>
      <w:proofErr w:type="spellEnd"/>
      <w:r w:rsidRPr="008067D2" w:rsidR="00D50E4B">
        <w:rPr>
          <w:rFonts w:ascii="Arial" w:hAnsi="Arial" w:cs="Arial"/>
          <w:sz w:val="24"/>
          <w:szCs w:val="24"/>
        </w:rPr>
        <w:t xml:space="preserve"> KIMMTRAK in Canada, twenty markets across Central Eastern Europe and Israel.</w:t>
      </w:r>
    </w:p>
    <w:p w:rsidRPr="008067D2" w:rsidR="0002569B" w:rsidP="00321BE6" w:rsidRDefault="0002569B" w14:paraId="6820BC43" w14:textId="7BD1753E">
      <w:pPr>
        <w:jc w:val="both"/>
        <w:rPr>
          <w:rFonts w:ascii="Arial" w:hAnsi="Arial" w:eastAsia="Times New Roman" w:cs="Arial"/>
          <w:b/>
          <w:color w:val="442B58"/>
          <w:sz w:val="24"/>
          <w:szCs w:val="24"/>
          <w:shd w:val="clear" w:color="auto" w:fill="FCFCFC"/>
          <w:lang w:eastAsia="en-GB"/>
        </w:rPr>
      </w:pPr>
      <w:r w:rsidRPr="008067D2">
        <w:rPr>
          <w:rFonts w:ascii="Arial" w:hAnsi="Arial" w:eastAsia="Times New Roman" w:cs="Arial"/>
          <w:b/>
          <w:color w:val="442B58"/>
          <w:sz w:val="24"/>
          <w:szCs w:val="24"/>
          <w:shd w:val="clear" w:color="auto" w:fill="FCFCFC"/>
          <w:lang w:eastAsia="en-GB"/>
        </w:rPr>
        <w:t>In the News</w:t>
      </w:r>
    </w:p>
    <w:p w:rsidRPr="008067D2" w:rsidR="0002569B" w:rsidP="00321BE6" w:rsidRDefault="00184892" w14:paraId="4EB170BD" w14:textId="26409BB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067D2">
        <w:rPr>
          <w:rFonts w:ascii="Arial" w:hAnsi="Arial" w:cs="Arial"/>
          <w:sz w:val="24"/>
          <w:szCs w:val="24"/>
        </w:rPr>
        <w:t>Immunocore</w:t>
      </w:r>
      <w:proofErr w:type="spellEnd"/>
      <w:r w:rsidRPr="008067D2">
        <w:rPr>
          <w:rFonts w:ascii="Arial" w:hAnsi="Arial" w:cs="Arial"/>
          <w:sz w:val="24"/>
          <w:szCs w:val="24"/>
        </w:rPr>
        <w:t xml:space="preserve"> launched on Nasdaq at a value of more than $250 million, Freeline Therapeutics and Allergy Therapeutics over $150 million, and Compass Pathways and </w:t>
      </w:r>
      <w:proofErr w:type="spellStart"/>
      <w:r w:rsidRPr="008067D2">
        <w:rPr>
          <w:rFonts w:ascii="Arial" w:hAnsi="Arial" w:cs="Arial"/>
          <w:sz w:val="24"/>
          <w:szCs w:val="24"/>
        </w:rPr>
        <w:t>Vaccitech</w:t>
      </w:r>
      <w:proofErr w:type="spellEnd"/>
      <w:r w:rsidRPr="008067D2">
        <w:rPr>
          <w:rFonts w:ascii="Arial" w:hAnsi="Arial" w:cs="Arial"/>
          <w:sz w:val="24"/>
          <w:szCs w:val="24"/>
        </w:rPr>
        <w:t xml:space="preserve"> at more than $100 million</w:t>
      </w:r>
      <w:r w:rsidR="00D41A7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tag w:val="MENDELEY_CITATION_v3_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"/>
          <w:id w:val="1442643656"/>
          <w:placeholder>
            <w:docPart w:val="DefaultPlaceholder_-1854013440"/>
          </w:placeholder>
        </w:sdtPr>
        <w:sdtContent>
          <w:r w:rsidRPr="0019450C" w:rsidR="0019450C">
            <w:rPr>
              <w:rFonts w:ascii="Arial" w:hAnsi="Arial" w:cs="Arial"/>
              <w:color w:val="000000"/>
              <w:sz w:val="24"/>
              <w:szCs w:val="24"/>
            </w:rPr>
            <w:t>(Bhandari et al., 2021)</w:t>
          </w:r>
        </w:sdtContent>
      </w:sdt>
    </w:p>
    <w:p w:rsidR="008B5048" w:rsidP="00321BE6" w:rsidRDefault="008B5048" w14:paraId="6E800940" w14:textId="77777777">
      <w:pPr>
        <w:jc w:val="both"/>
        <w:rPr>
          <w:sz w:val="24"/>
          <w:szCs w:val="24"/>
        </w:rPr>
      </w:pPr>
    </w:p>
    <w:p w:rsidR="008B5048" w:rsidP="00321BE6" w:rsidRDefault="008B5048" w14:paraId="4D78D96C" w14:textId="0B68AEE3">
      <w:pPr>
        <w:jc w:val="both"/>
        <w:rPr>
          <w:sz w:val="24"/>
          <w:szCs w:val="24"/>
        </w:rPr>
      </w:pPr>
      <w:r w:rsidRPr="008B5048">
        <w:rPr>
          <w:noProof/>
          <w:sz w:val="24"/>
          <w:szCs w:val="24"/>
        </w:rPr>
        <w:lastRenderedPageBreak/>
        <w:drawing>
          <wp:inline distT="0" distB="0" distL="0" distR="0" wp14:anchorId="4A0A0132" wp14:editId="07497D07">
            <wp:extent cx="5731510" cy="3768090"/>
            <wp:effectExtent l="0" t="0" r="2540" b="381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6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AF5" w:rsidP="00321BE6" w:rsidRDefault="008C4AF5" w14:paraId="2E3FFE7E" w14:textId="77777777">
      <w:pPr>
        <w:jc w:val="both"/>
        <w:rPr>
          <w:sz w:val="24"/>
          <w:szCs w:val="24"/>
        </w:rPr>
      </w:pPr>
    </w:p>
    <w:p w:rsidRPr="00F86291" w:rsidR="008C4AF5" w:rsidP="00321BE6" w:rsidRDefault="00E95074" w14:paraId="390CD9EB" w14:textId="4D38D0E5">
      <w:pPr>
        <w:jc w:val="both"/>
        <w:rPr>
          <w:rFonts w:ascii="Arial" w:hAnsi="Arial" w:eastAsia="Times New Roman" w:cstheme="majorBidi"/>
          <w:b/>
          <w:color w:val="442B58"/>
          <w:sz w:val="24"/>
          <w:szCs w:val="24"/>
          <w:shd w:val="clear" w:color="auto" w:fill="FCFCFC"/>
          <w:lang w:eastAsia="en-GB"/>
        </w:rPr>
      </w:pPr>
      <w:r w:rsidRPr="00F86291">
        <w:rPr>
          <w:rFonts w:ascii="Arial" w:hAnsi="Arial" w:eastAsia="Times New Roman" w:cstheme="majorBidi"/>
          <w:b/>
          <w:color w:val="442B58"/>
          <w:sz w:val="24"/>
          <w:szCs w:val="24"/>
          <w:shd w:val="clear" w:color="auto" w:fill="FCFCFC"/>
          <w:lang w:eastAsia="en-GB"/>
        </w:rPr>
        <w:t>Smaller Biotech</w:t>
      </w:r>
      <w:r w:rsidRPr="00F86291" w:rsidR="002955F5">
        <w:rPr>
          <w:rFonts w:ascii="Arial" w:hAnsi="Arial" w:eastAsia="Times New Roman" w:cstheme="majorBidi"/>
          <w:b/>
          <w:color w:val="442B58"/>
          <w:sz w:val="24"/>
          <w:szCs w:val="24"/>
          <w:shd w:val="clear" w:color="auto" w:fill="FCFCFC"/>
          <w:lang w:eastAsia="en-GB"/>
        </w:rPr>
        <w:t xml:space="preserve"> Pharma</w:t>
      </w:r>
      <w:r w:rsidRPr="00F86291">
        <w:rPr>
          <w:rFonts w:ascii="Arial" w:hAnsi="Arial" w:eastAsia="Times New Roman" w:cstheme="majorBidi"/>
          <w:b/>
          <w:color w:val="442B58"/>
          <w:sz w:val="24"/>
          <w:szCs w:val="24"/>
          <w:shd w:val="clear" w:color="auto" w:fill="FCFCFC"/>
          <w:lang w:eastAsia="en-GB"/>
        </w:rPr>
        <w:t xml:space="preserve"> as Competitors to GSK (Big Pharma)</w:t>
      </w:r>
    </w:p>
    <w:p w:rsidRPr="00D41A77" w:rsidR="00E95074" w:rsidP="00321BE6" w:rsidRDefault="003F3193" w14:paraId="5594CCD9" w14:textId="01A0294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41A77">
        <w:rPr>
          <w:rFonts w:ascii="Arial" w:hAnsi="Arial" w:cs="Arial"/>
          <w:sz w:val="24"/>
          <w:szCs w:val="24"/>
        </w:rPr>
        <w:t>For the purpose of</w:t>
      </w:r>
      <w:proofErr w:type="gramEnd"/>
      <w:r w:rsidRPr="00D41A77">
        <w:rPr>
          <w:rFonts w:ascii="Arial" w:hAnsi="Arial" w:cs="Arial"/>
          <w:sz w:val="24"/>
          <w:szCs w:val="24"/>
        </w:rPr>
        <w:t xml:space="preserve"> </w:t>
      </w:r>
      <w:r w:rsidRPr="00D41A77" w:rsidR="00862B50">
        <w:rPr>
          <w:rFonts w:ascii="Arial" w:hAnsi="Arial" w:cs="Arial"/>
          <w:sz w:val="24"/>
          <w:szCs w:val="24"/>
        </w:rPr>
        <w:t xml:space="preserve">this analysis, pharmaceutical companies are </w:t>
      </w:r>
      <w:r w:rsidRPr="00D41A77" w:rsidR="000569F6">
        <w:rPr>
          <w:rFonts w:ascii="Arial" w:hAnsi="Arial" w:cs="Arial"/>
          <w:sz w:val="24"/>
          <w:szCs w:val="24"/>
        </w:rPr>
        <w:t xml:space="preserve">categorized by size according to their annual revenue profiles with </w:t>
      </w:r>
      <w:r w:rsidRPr="00D41A77" w:rsidR="009B48A2">
        <w:rPr>
          <w:rFonts w:ascii="Arial" w:hAnsi="Arial" w:cs="Arial"/>
          <w:sz w:val="24"/>
          <w:szCs w:val="24"/>
        </w:rPr>
        <w:t>medium sized companies having</w:t>
      </w:r>
      <w:r w:rsidRPr="00D41A77" w:rsidR="002130B5">
        <w:rPr>
          <w:rFonts w:ascii="Arial" w:hAnsi="Arial" w:cs="Arial"/>
          <w:sz w:val="24"/>
          <w:szCs w:val="24"/>
        </w:rPr>
        <w:t xml:space="preserve"> annual</w:t>
      </w:r>
      <w:r w:rsidRPr="00D41A77" w:rsidR="009B48A2">
        <w:rPr>
          <w:rFonts w:ascii="Arial" w:hAnsi="Arial" w:cs="Arial"/>
          <w:sz w:val="24"/>
          <w:szCs w:val="24"/>
        </w:rPr>
        <w:t xml:space="preserve"> revenues of US$ 1 billion to US$ 10 billion</w:t>
      </w:r>
      <w:r w:rsidRPr="00D41A77" w:rsidR="002130B5">
        <w:rPr>
          <w:rFonts w:ascii="Arial" w:hAnsi="Arial" w:cs="Arial"/>
          <w:sz w:val="24"/>
          <w:szCs w:val="24"/>
        </w:rPr>
        <w:t xml:space="preserve">.  </w:t>
      </w:r>
      <w:r w:rsidRPr="00D41A77" w:rsidR="00DF2BC3">
        <w:rPr>
          <w:rFonts w:ascii="Arial" w:hAnsi="Arial" w:cs="Arial"/>
          <w:sz w:val="24"/>
          <w:szCs w:val="24"/>
        </w:rPr>
        <w:t xml:space="preserve">Companies with annual revenues less than US$ 1 billion and </w:t>
      </w:r>
      <w:r w:rsidRPr="00D41A77" w:rsidR="00A24E3C">
        <w:rPr>
          <w:rFonts w:ascii="Arial" w:hAnsi="Arial" w:cs="Arial"/>
          <w:sz w:val="24"/>
          <w:szCs w:val="24"/>
        </w:rPr>
        <w:t xml:space="preserve">those with annual revenues greater than US$ 10 billion are </w:t>
      </w:r>
      <w:r w:rsidRPr="00D41A77" w:rsidR="00F97AE1">
        <w:rPr>
          <w:rFonts w:ascii="Arial" w:hAnsi="Arial" w:cs="Arial"/>
          <w:sz w:val="24"/>
          <w:szCs w:val="24"/>
        </w:rPr>
        <w:t xml:space="preserve">categorized as smaller and large </w:t>
      </w:r>
      <w:r w:rsidRPr="00D41A77" w:rsidR="00FE7B9F">
        <w:rPr>
          <w:rFonts w:ascii="Arial" w:hAnsi="Arial" w:cs="Arial"/>
          <w:sz w:val="24"/>
          <w:szCs w:val="24"/>
        </w:rPr>
        <w:t>pharmaceutical</w:t>
      </w:r>
      <w:r w:rsidRPr="00D41A77" w:rsidR="00F97AE1">
        <w:rPr>
          <w:rFonts w:ascii="Arial" w:hAnsi="Arial" w:cs="Arial"/>
          <w:sz w:val="24"/>
          <w:szCs w:val="24"/>
        </w:rPr>
        <w:t xml:space="preserve"> companies respectively</w:t>
      </w:r>
      <w:r w:rsidR="00D41A7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tag w:val="MENDELEY_CITATION_v3_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"/>
          <w:id w:val="1079408759"/>
          <w:placeholder>
            <w:docPart w:val="DefaultPlaceholder_-1854013440"/>
          </w:placeholder>
        </w:sdtPr>
        <w:sdtContent>
          <w:r w:rsidRPr="0019450C" w:rsidR="0019450C">
            <w:rPr>
              <w:rFonts w:ascii="Arial" w:hAnsi="Arial" w:cs="Arial"/>
              <w:color w:val="000000"/>
              <w:sz w:val="24"/>
              <w:szCs w:val="24"/>
            </w:rPr>
            <w:t>(Research and Markets, 2018)</w:t>
          </w:r>
        </w:sdtContent>
      </w:sdt>
      <w:r w:rsidRPr="00D41A77" w:rsidR="00F97AE1">
        <w:rPr>
          <w:rFonts w:ascii="Arial" w:hAnsi="Arial" w:cs="Arial"/>
          <w:sz w:val="24"/>
          <w:szCs w:val="24"/>
        </w:rPr>
        <w:t>.</w:t>
      </w:r>
    </w:p>
    <w:p w:rsidRPr="0019450C" w:rsidR="00CA02E7" w:rsidP="72F31FE3" w:rsidRDefault="00A1579A" w14:paraId="58DC3F4F" w14:textId="4690648F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D41A77">
        <w:rPr>
          <w:rFonts w:ascii="Arial" w:hAnsi="Arial" w:cs="Arial"/>
          <w:sz w:val="24"/>
          <w:szCs w:val="24"/>
        </w:rPr>
        <w:t xml:space="preserve">The concentration </w:t>
      </w:r>
      <w:r w:rsidRPr="00D41A77" w:rsidR="003E4B69">
        <w:rPr>
          <w:rFonts w:ascii="Arial" w:hAnsi="Arial" w:cs="Arial"/>
          <w:sz w:val="24"/>
          <w:szCs w:val="24"/>
        </w:rPr>
        <w:t>ratio in</w:t>
      </w:r>
      <w:r w:rsidRPr="00D41A77" w:rsidR="003B719F">
        <w:rPr>
          <w:rFonts w:ascii="Arial" w:hAnsi="Arial" w:cs="Arial"/>
          <w:sz w:val="24"/>
          <w:szCs w:val="24"/>
        </w:rPr>
        <w:t xml:space="preserve"> section </w:t>
      </w:r>
      <w:r w:rsidRPr="00D41A77" w:rsidR="000A41B3">
        <w:rPr>
          <w:rFonts w:ascii="Arial" w:hAnsi="Arial" w:cs="Arial"/>
          <w:sz w:val="24"/>
          <w:szCs w:val="24"/>
        </w:rPr>
        <w:t>1.2.1 indicates</w:t>
      </w:r>
      <w:r w:rsidRPr="00D41A77" w:rsidR="003E4B69">
        <w:rPr>
          <w:rFonts w:ascii="Arial" w:hAnsi="Arial" w:cs="Arial"/>
          <w:sz w:val="24"/>
          <w:szCs w:val="24"/>
        </w:rPr>
        <w:t xml:space="preserve"> that the market </w:t>
      </w:r>
      <w:r w:rsidRPr="00D41A77" w:rsidR="00766587">
        <w:rPr>
          <w:rFonts w:ascii="Arial" w:hAnsi="Arial" w:cs="Arial"/>
          <w:sz w:val="24"/>
          <w:szCs w:val="24"/>
        </w:rPr>
        <w:t xml:space="preserve">structure could be a loose oligopoly or a </w:t>
      </w:r>
      <w:r w:rsidRPr="00D41A77" w:rsidR="00030C0E">
        <w:rPr>
          <w:rFonts w:ascii="Arial" w:hAnsi="Arial" w:cs="Arial"/>
          <w:sz w:val="24"/>
          <w:szCs w:val="24"/>
        </w:rPr>
        <w:t>monopolistic competition</w:t>
      </w:r>
      <w:r w:rsidRPr="00D41A77" w:rsidR="009F126F">
        <w:rPr>
          <w:rFonts w:ascii="Arial" w:hAnsi="Arial" w:cs="Arial"/>
          <w:sz w:val="24"/>
          <w:szCs w:val="24"/>
        </w:rPr>
        <w:t xml:space="preserve">, leaning more towards a loose oligopoly as </w:t>
      </w:r>
      <w:r w:rsidRPr="00D41A77" w:rsidR="004D27BB">
        <w:rPr>
          <w:rFonts w:ascii="Arial" w:hAnsi="Arial" w:cs="Arial"/>
          <w:sz w:val="24"/>
          <w:szCs w:val="24"/>
        </w:rPr>
        <w:t xml:space="preserve">more conditions for </w:t>
      </w:r>
      <w:r w:rsidRPr="00D41A77" w:rsidR="001B2637">
        <w:rPr>
          <w:rFonts w:ascii="Arial" w:hAnsi="Arial" w:cs="Arial"/>
          <w:sz w:val="24"/>
          <w:szCs w:val="24"/>
        </w:rPr>
        <w:t xml:space="preserve">an oligopoly are satisfied than a monopolistic </w:t>
      </w:r>
      <w:r w:rsidRPr="0019450C" w:rsidR="001B2637">
        <w:rPr>
          <w:rFonts w:ascii="Arial" w:hAnsi="Arial" w:cs="Arial"/>
          <w:sz w:val="24"/>
          <w:szCs w:val="24"/>
        </w:rPr>
        <w:t>competition</w:t>
      </w:r>
      <w:r w:rsidRPr="0019450C" w:rsidR="0047778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tag w:val="MENDELEY_CITATION_v3_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"/>
          <w:id w:val="464784069"/>
          <w:placeholder>
            <w:docPart w:val="DefaultPlaceholder_-1854013440"/>
          </w:placeholder>
        </w:sdtPr>
        <w:sdtContent>
          <w:r w:rsidRPr="0019450C" w:rsidR="0019450C">
            <w:rPr>
              <w:rFonts w:ascii="Arial" w:hAnsi="Arial" w:eastAsia="Times New Roman" w:cs="Arial"/>
              <w:sz w:val="24"/>
              <w:szCs w:val="24"/>
            </w:rPr>
            <w:t>(</w:t>
          </w:r>
          <w:proofErr w:type="spellStart"/>
          <w:r w:rsidRPr="0019450C" w:rsidR="0019450C">
            <w:rPr>
              <w:rFonts w:ascii="Arial" w:hAnsi="Arial" w:eastAsia="Times New Roman" w:cs="Arial"/>
              <w:sz w:val="24"/>
              <w:szCs w:val="24"/>
            </w:rPr>
            <w:t>Nellis</w:t>
          </w:r>
          <w:proofErr w:type="spellEnd"/>
          <w:r w:rsidRPr="0019450C" w:rsidR="0019450C">
            <w:rPr>
              <w:rFonts w:ascii="Arial" w:hAnsi="Arial" w:eastAsia="Times New Roman" w:cs="Arial"/>
              <w:sz w:val="24"/>
              <w:szCs w:val="24"/>
            </w:rPr>
            <w:t xml:space="preserve"> &amp; Parker, 2006)</w:t>
          </w:r>
        </w:sdtContent>
      </w:sdt>
      <w:r w:rsidRPr="0019450C" w:rsidR="001B2637">
        <w:rPr>
          <w:rFonts w:ascii="Arial" w:hAnsi="Arial" w:cs="Arial"/>
          <w:sz w:val="24"/>
          <w:szCs w:val="24"/>
        </w:rPr>
        <w:t>.</w:t>
      </w:r>
    </w:p>
    <w:p w:rsidRPr="00D41A77" w:rsidR="0000760C" w:rsidP="00321BE6" w:rsidRDefault="00164325" w14:paraId="3305FC31" w14:textId="0C47CDD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41A77">
        <w:rPr>
          <w:rFonts w:ascii="Arial" w:hAnsi="Arial" w:cs="Arial"/>
          <w:sz w:val="24"/>
          <w:szCs w:val="24"/>
        </w:rPr>
        <w:t>Nellis</w:t>
      </w:r>
      <w:proofErr w:type="spellEnd"/>
      <w:r w:rsidRPr="00D41A77">
        <w:rPr>
          <w:rFonts w:ascii="Arial" w:hAnsi="Arial" w:cs="Arial"/>
          <w:sz w:val="24"/>
          <w:szCs w:val="24"/>
        </w:rPr>
        <w:t xml:space="preserve"> and Parker</w:t>
      </w:r>
      <w:r w:rsidRPr="00D41A77" w:rsidR="009D1B02">
        <w:rPr>
          <w:rFonts w:ascii="Arial" w:hAnsi="Arial" w:cs="Arial"/>
          <w:sz w:val="24"/>
          <w:szCs w:val="24"/>
        </w:rPr>
        <w:t xml:space="preserve"> </w:t>
      </w:r>
      <w:r w:rsidR="00FD1E93">
        <w:rPr>
          <w:rFonts w:ascii="Arial" w:hAnsi="Arial" w:cs="Arial"/>
          <w:sz w:val="24"/>
          <w:szCs w:val="24"/>
        </w:rPr>
        <w:t xml:space="preserve">(2006) </w:t>
      </w:r>
      <w:r w:rsidRPr="00D41A77" w:rsidR="009D1B02">
        <w:rPr>
          <w:rFonts w:ascii="Arial" w:hAnsi="Arial" w:cs="Arial"/>
          <w:sz w:val="24"/>
          <w:szCs w:val="24"/>
        </w:rPr>
        <w:t>describe the main feature of oligopolistic</w:t>
      </w:r>
      <w:r w:rsidRPr="00D41A77" w:rsidR="00075FDF">
        <w:rPr>
          <w:rFonts w:ascii="Arial" w:hAnsi="Arial" w:cs="Arial"/>
          <w:sz w:val="24"/>
          <w:szCs w:val="24"/>
        </w:rPr>
        <w:t xml:space="preserve"> markets as </w:t>
      </w:r>
      <w:r w:rsidRPr="00D41A77" w:rsidR="00EC42E4">
        <w:rPr>
          <w:rFonts w:ascii="Arial" w:hAnsi="Arial" w:cs="Arial"/>
          <w:sz w:val="24"/>
          <w:szCs w:val="24"/>
        </w:rPr>
        <w:t>the fact that the</w:t>
      </w:r>
      <w:r w:rsidRPr="00D41A77" w:rsidR="004F2C30">
        <w:rPr>
          <w:rFonts w:ascii="Arial" w:hAnsi="Arial" w:cs="Arial"/>
          <w:sz w:val="24"/>
          <w:szCs w:val="24"/>
        </w:rPr>
        <w:t xml:space="preserve"> likely</w:t>
      </w:r>
      <w:r w:rsidRPr="00D41A77" w:rsidR="00EC42E4">
        <w:rPr>
          <w:rFonts w:ascii="Arial" w:hAnsi="Arial" w:cs="Arial"/>
          <w:sz w:val="24"/>
          <w:szCs w:val="24"/>
        </w:rPr>
        <w:t xml:space="preserve"> actions and reactions of </w:t>
      </w:r>
      <w:r w:rsidRPr="00D41A77" w:rsidR="004F2C30">
        <w:rPr>
          <w:rFonts w:ascii="Arial" w:hAnsi="Arial" w:cs="Arial"/>
          <w:sz w:val="24"/>
          <w:szCs w:val="24"/>
        </w:rPr>
        <w:t xml:space="preserve">competitive firms influence the </w:t>
      </w:r>
      <w:r w:rsidRPr="00D41A77" w:rsidR="003A5575">
        <w:rPr>
          <w:rFonts w:ascii="Arial" w:hAnsi="Arial" w:cs="Arial"/>
          <w:sz w:val="24"/>
          <w:szCs w:val="24"/>
        </w:rPr>
        <w:t>management of a firm’s decisions on price and output</w:t>
      </w:r>
      <w:r w:rsidRPr="00D41A77" w:rsidR="0080032D">
        <w:rPr>
          <w:rFonts w:ascii="Arial" w:hAnsi="Arial" w:cs="Arial"/>
          <w:sz w:val="24"/>
          <w:szCs w:val="24"/>
        </w:rPr>
        <w:t>.</w:t>
      </w:r>
      <w:r w:rsidRPr="00D41A77" w:rsidR="00B05419">
        <w:rPr>
          <w:rFonts w:ascii="Arial" w:hAnsi="Arial" w:cs="Arial"/>
          <w:sz w:val="24"/>
          <w:szCs w:val="24"/>
        </w:rPr>
        <w:t xml:space="preserve">  </w:t>
      </w:r>
      <w:r w:rsidRPr="00D41A77" w:rsidR="008A36B1">
        <w:rPr>
          <w:rFonts w:ascii="Arial" w:hAnsi="Arial" w:cs="Arial"/>
          <w:sz w:val="24"/>
          <w:szCs w:val="24"/>
        </w:rPr>
        <w:fldChar w:fldCharType="begin"/>
      </w:r>
      <w:r w:rsidRPr="00D41A77" w:rsidR="008A36B1">
        <w:rPr>
          <w:rFonts w:ascii="Arial" w:hAnsi="Arial" w:cs="Arial"/>
          <w:sz w:val="24"/>
          <w:szCs w:val="24"/>
        </w:rPr>
        <w:instrText xml:space="preserve"> REF _Ref109387169 \h </w:instrText>
      </w:r>
      <w:r w:rsidRPr="00D41A77" w:rsidR="008A36B1">
        <w:rPr>
          <w:rFonts w:ascii="Arial" w:hAnsi="Arial" w:cs="Arial"/>
          <w:sz w:val="24"/>
          <w:szCs w:val="24"/>
        </w:rPr>
      </w:r>
      <w:r w:rsidRPr="00D41A77" w:rsidR="00D41A77">
        <w:rPr>
          <w:rFonts w:ascii="Arial" w:hAnsi="Arial" w:cs="Arial"/>
          <w:sz w:val="24"/>
          <w:szCs w:val="24"/>
        </w:rPr>
        <w:instrText xml:space="preserve"> \* MERGEFORMAT </w:instrText>
      </w:r>
      <w:r w:rsidRPr="00D41A77" w:rsidR="008A36B1">
        <w:rPr>
          <w:rFonts w:ascii="Arial" w:hAnsi="Arial" w:cs="Arial"/>
          <w:sz w:val="24"/>
          <w:szCs w:val="24"/>
        </w:rPr>
        <w:fldChar w:fldCharType="separate"/>
      </w:r>
      <w:r w:rsidRPr="00D41A77" w:rsidR="008A36B1">
        <w:rPr>
          <w:rFonts w:ascii="Arial" w:hAnsi="Arial" w:cs="Arial"/>
          <w:sz w:val="24"/>
          <w:szCs w:val="24"/>
        </w:rPr>
        <w:t xml:space="preserve">Table </w:t>
      </w:r>
      <w:r w:rsidRPr="00D41A77" w:rsidR="008A36B1">
        <w:rPr>
          <w:rFonts w:ascii="Arial" w:hAnsi="Arial" w:cs="Arial"/>
          <w:noProof/>
          <w:sz w:val="24"/>
          <w:szCs w:val="24"/>
        </w:rPr>
        <w:t>1</w:t>
      </w:r>
      <w:r w:rsidRPr="00D41A77" w:rsidR="008A36B1">
        <w:rPr>
          <w:rFonts w:ascii="Arial" w:hAnsi="Arial" w:cs="Arial"/>
          <w:sz w:val="24"/>
          <w:szCs w:val="24"/>
        </w:rPr>
        <w:fldChar w:fldCharType="end"/>
      </w:r>
      <w:r w:rsidRPr="00D41A77" w:rsidR="00853B4E">
        <w:rPr>
          <w:rFonts w:ascii="Arial" w:hAnsi="Arial" w:cs="Arial"/>
          <w:sz w:val="24"/>
          <w:szCs w:val="24"/>
        </w:rPr>
        <w:t xml:space="preserve"> shows that while </w:t>
      </w:r>
      <w:r w:rsidRPr="00D41A77" w:rsidR="00C41431">
        <w:rPr>
          <w:rFonts w:ascii="Arial" w:hAnsi="Arial" w:cs="Arial"/>
          <w:sz w:val="24"/>
          <w:szCs w:val="24"/>
        </w:rPr>
        <w:t>GSK and smaller biotech</w:t>
      </w:r>
      <w:r w:rsidRPr="00D41A77" w:rsidR="00CE4A38">
        <w:rPr>
          <w:rFonts w:ascii="Arial" w:hAnsi="Arial" w:cs="Arial"/>
          <w:sz w:val="24"/>
          <w:szCs w:val="24"/>
        </w:rPr>
        <w:t xml:space="preserve"> pharma companies</w:t>
      </w:r>
      <w:r w:rsidRPr="00D41A77" w:rsidR="00C41431">
        <w:rPr>
          <w:rFonts w:ascii="Arial" w:hAnsi="Arial" w:cs="Arial"/>
          <w:sz w:val="24"/>
          <w:szCs w:val="24"/>
        </w:rPr>
        <w:t xml:space="preserve"> may be generally classified as pharmaceutical companies, the </w:t>
      </w:r>
      <w:r w:rsidRPr="00D41A77" w:rsidR="0076773D">
        <w:rPr>
          <w:rFonts w:ascii="Arial" w:hAnsi="Arial" w:cs="Arial"/>
          <w:sz w:val="24"/>
          <w:szCs w:val="24"/>
        </w:rPr>
        <w:t xml:space="preserve">number of </w:t>
      </w:r>
      <w:r w:rsidRPr="00D41A77" w:rsidR="00CE03D4">
        <w:rPr>
          <w:rFonts w:ascii="Arial" w:hAnsi="Arial" w:cs="Arial"/>
          <w:sz w:val="24"/>
          <w:szCs w:val="24"/>
        </w:rPr>
        <w:t xml:space="preserve">products common to a product range is little, </w:t>
      </w:r>
      <w:r w:rsidRPr="00D41A77" w:rsidR="009A7B99">
        <w:rPr>
          <w:rFonts w:ascii="Arial" w:hAnsi="Arial" w:cs="Arial"/>
          <w:sz w:val="24"/>
          <w:szCs w:val="24"/>
        </w:rPr>
        <w:t xml:space="preserve">and the output </w:t>
      </w:r>
      <w:r w:rsidRPr="00D41A77" w:rsidR="008A5529">
        <w:rPr>
          <w:rFonts w:ascii="Arial" w:hAnsi="Arial" w:cs="Arial"/>
          <w:sz w:val="24"/>
          <w:szCs w:val="24"/>
        </w:rPr>
        <w:t xml:space="preserve">of small </w:t>
      </w:r>
      <w:proofErr w:type="spellStart"/>
      <w:r w:rsidRPr="00D41A77" w:rsidR="008A5529">
        <w:rPr>
          <w:rFonts w:ascii="Arial" w:hAnsi="Arial" w:cs="Arial"/>
          <w:sz w:val="24"/>
          <w:szCs w:val="24"/>
        </w:rPr>
        <w:t>biotechs</w:t>
      </w:r>
      <w:proofErr w:type="spellEnd"/>
      <w:r w:rsidRPr="00D41A77" w:rsidR="008A5529">
        <w:rPr>
          <w:rFonts w:ascii="Arial" w:hAnsi="Arial" w:cs="Arial"/>
          <w:sz w:val="24"/>
          <w:szCs w:val="24"/>
        </w:rPr>
        <w:t xml:space="preserve"> is not sufficient to </w:t>
      </w:r>
      <w:r w:rsidRPr="00D41A77" w:rsidR="0068447F">
        <w:rPr>
          <w:rFonts w:ascii="Arial" w:hAnsi="Arial" w:cs="Arial"/>
          <w:sz w:val="24"/>
          <w:szCs w:val="24"/>
        </w:rPr>
        <w:t>influence</w:t>
      </w:r>
      <w:r w:rsidRPr="00D41A77" w:rsidR="008A5529">
        <w:rPr>
          <w:rFonts w:ascii="Arial" w:hAnsi="Arial" w:cs="Arial"/>
          <w:sz w:val="24"/>
          <w:szCs w:val="24"/>
        </w:rPr>
        <w:t xml:space="preserve"> </w:t>
      </w:r>
      <w:r w:rsidRPr="00D41A77" w:rsidR="0068447F">
        <w:rPr>
          <w:rFonts w:ascii="Arial" w:hAnsi="Arial" w:cs="Arial"/>
          <w:sz w:val="24"/>
          <w:szCs w:val="24"/>
        </w:rPr>
        <w:t>GSK’s decisions on output</w:t>
      </w:r>
      <w:r w:rsidRPr="00D41A77" w:rsidR="00194C58">
        <w:rPr>
          <w:rFonts w:ascii="Arial" w:hAnsi="Arial" w:cs="Arial"/>
          <w:sz w:val="24"/>
          <w:szCs w:val="24"/>
        </w:rPr>
        <w:t xml:space="preserve"> and thus not </w:t>
      </w:r>
      <w:r w:rsidRPr="00D41A77" w:rsidR="00732918">
        <w:rPr>
          <w:rFonts w:ascii="Arial" w:hAnsi="Arial" w:cs="Arial"/>
          <w:sz w:val="24"/>
          <w:szCs w:val="24"/>
        </w:rPr>
        <w:t>regarded as competitive firms to GSK.</w:t>
      </w:r>
      <w:r w:rsidRPr="00D41A77" w:rsidR="00C74808">
        <w:rPr>
          <w:rFonts w:ascii="Arial" w:hAnsi="Arial" w:cs="Arial"/>
          <w:sz w:val="24"/>
          <w:szCs w:val="24"/>
        </w:rPr>
        <w:t xml:space="preserve">  Competing firms in an Oligop</w:t>
      </w:r>
      <w:r w:rsidRPr="00D41A77" w:rsidR="00CE1193">
        <w:rPr>
          <w:rFonts w:ascii="Arial" w:hAnsi="Arial" w:cs="Arial"/>
          <w:sz w:val="24"/>
          <w:szCs w:val="24"/>
        </w:rPr>
        <w:t xml:space="preserve">olistic market structure are able </w:t>
      </w:r>
      <w:r w:rsidRPr="00D41A77" w:rsidR="003763F0">
        <w:rPr>
          <w:rFonts w:ascii="Arial" w:hAnsi="Arial" w:cs="Arial"/>
          <w:sz w:val="24"/>
          <w:szCs w:val="24"/>
        </w:rPr>
        <w:t>exercise market power due to the barriers to market entry</w:t>
      </w:r>
      <w:r w:rsidRPr="00D41A77" w:rsidR="00463E54">
        <w:rPr>
          <w:rFonts w:ascii="Arial" w:hAnsi="Arial" w:cs="Arial"/>
          <w:sz w:val="24"/>
          <w:szCs w:val="24"/>
        </w:rPr>
        <w:t xml:space="preserve">; smaller </w:t>
      </w:r>
      <w:proofErr w:type="spellStart"/>
      <w:r w:rsidRPr="00D41A77" w:rsidR="00463E54">
        <w:rPr>
          <w:rFonts w:ascii="Arial" w:hAnsi="Arial" w:cs="Arial"/>
          <w:sz w:val="24"/>
          <w:szCs w:val="24"/>
        </w:rPr>
        <w:t>biotechs</w:t>
      </w:r>
      <w:proofErr w:type="spellEnd"/>
      <w:r w:rsidRPr="00D41A77" w:rsidR="00463E54">
        <w:rPr>
          <w:rFonts w:ascii="Arial" w:hAnsi="Arial" w:cs="Arial"/>
          <w:sz w:val="24"/>
          <w:szCs w:val="24"/>
        </w:rPr>
        <w:t xml:space="preserve"> are unable to exercise market power relative to the </w:t>
      </w:r>
      <w:r w:rsidRPr="00D41A77" w:rsidR="001B6395">
        <w:rPr>
          <w:rFonts w:ascii="Arial" w:hAnsi="Arial" w:cs="Arial"/>
          <w:sz w:val="24"/>
          <w:szCs w:val="24"/>
        </w:rPr>
        <w:t>oligopolists.</w:t>
      </w:r>
    </w:p>
    <w:p w:rsidRPr="00D41A77" w:rsidR="00FD46D6" w:rsidP="00321BE6" w:rsidRDefault="00FD46D6" w14:paraId="4FE4BF8E" w14:textId="77777777">
      <w:pPr>
        <w:jc w:val="both"/>
        <w:rPr>
          <w:rFonts w:ascii="Arial" w:hAnsi="Arial" w:cs="Arial"/>
          <w:sz w:val="24"/>
          <w:szCs w:val="24"/>
        </w:rPr>
      </w:pPr>
    </w:p>
    <w:p w:rsidRPr="00D41A77" w:rsidR="008A36B1" w:rsidP="008A36B1" w:rsidRDefault="008A36B1" w14:paraId="0776084F" w14:textId="5952E276">
      <w:pPr>
        <w:pStyle w:val="Caption"/>
        <w:keepNext/>
        <w:rPr>
          <w:rFonts w:ascii="Arial" w:hAnsi="Arial" w:cs="Arial"/>
          <w:sz w:val="24"/>
          <w:szCs w:val="24"/>
        </w:rPr>
      </w:pPr>
      <w:bookmarkStart w:name="_Ref109387169" w:id="14"/>
      <w:r w:rsidRPr="00D41A77">
        <w:rPr>
          <w:rFonts w:ascii="Arial" w:hAnsi="Arial" w:cs="Arial"/>
          <w:sz w:val="24"/>
          <w:szCs w:val="24"/>
        </w:rPr>
        <w:lastRenderedPageBreak/>
        <w:t xml:space="preserve">Table </w:t>
      </w:r>
      <w:r w:rsidRPr="00D41A77" w:rsidR="000A41B3">
        <w:rPr>
          <w:rFonts w:ascii="Arial" w:hAnsi="Arial" w:cs="Arial"/>
          <w:sz w:val="24"/>
          <w:szCs w:val="24"/>
        </w:rPr>
        <w:fldChar w:fldCharType="begin"/>
      </w:r>
      <w:r w:rsidRPr="00D41A77" w:rsidR="000A41B3">
        <w:rPr>
          <w:rFonts w:ascii="Arial" w:hAnsi="Arial" w:cs="Arial"/>
          <w:sz w:val="24"/>
          <w:szCs w:val="24"/>
        </w:rPr>
        <w:instrText xml:space="preserve"> SEQ Table \* ARABIC </w:instrText>
      </w:r>
      <w:r w:rsidRPr="00D41A77" w:rsidR="000A41B3">
        <w:rPr>
          <w:rFonts w:ascii="Arial" w:hAnsi="Arial" w:cs="Arial"/>
          <w:sz w:val="24"/>
          <w:szCs w:val="24"/>
        </w:rPr>
        <w:fldChar w:fldCharType="separate"/>
      </w:r>
      <w:r w:rsidRPr="00D41A77">
        <w:rPr>
          <w:rFonts w:ascii="Arial" w:hAnsi="Arial" w:cs="Arial"/>
          <w:noProof/>
          <w:sz w:val="24"/>
          <w:szCs w:val="24"/>
        </w:rPr>
        <w:t>1</w:t>
      </w:r>
      <w:r w:rsidRPr="00D41A77" w:rsidR="000A41B3">
        <w:rPr>
          <w:rFonts w:ascii="Arial" w:hAnsi="Arial" w:cs="Arial"/>
          <w:noProof/>
          <w:sz w:val="24"/>
          <w:szCs w:val="24"/>
        </w:rPr>
        <w:fldChar w:fldCharType="end"/>
      </w:r>
      <w:bookmarkEnd w:id="14"/>
      <w:r w:rsidRPr="00D41A77">
        <w:rPr>
          <w:rFonts w:ascii="Arial" w:hAnsi="Arial" w:cs="Arial"/>
          <w:sz w:val="24"/>
          <w:szCs w:val="24"/>
        </w:rPr>
        <w:t xml:space="preserve"> GSK vs Small Biotech Pharma - Product Range</w:t>
      </w:r>
    </w:p>
    <w:tbl>
      <w:tblPr>
        <w:tblStyle w:val="GridTable1Light"/>
        <w:tblW w:w="8217" w:type="dxa"/>
        <w:tblLook w:val="04A0" w:firstRow="1" w:lastRow="0" w:firstColumn="1" w:lastColumn="0" w:noHBand="0" w:noVBand="1"/>
      </w:tblPr>
      <w:tblGrid>
        <w:gridCol w:w="1795"/>
        <w:gridCol w:w="1257"/>
        <w:gridCol w:w="1377"/>
        <w:gridCol w:w="2035"/>
        <w:gridCol w:w="1753"/>
      </w:tblGrid>
      <w:tr w:rsidRPr="00D41A77" w:rsidR="00FD46D6" w:rsidTr="00FD46D6" w14:paraId="5F3AA71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</w:tcPr>
          <w:p w:rsidRPr="00D41A77" w:rsidR="00FD46D6" w:rsidP="00321BE6" w:rsidRDefault="00FD46D6" w14:paraId="2E2C6BBF" w14:textId="2CCEB2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A77">
              <w:rPr>
                <w:rFonts w:ascii="Arial" w:hAnsi="Arial" w:cs="Arial"/>
                <w:sz w:val="24"/>
                <w:szCs w:val="24"/>
              </w:rPr>
              <w:t>Product Range</w:t>
            </w:r>
          </w:p>
        </w:tc>
        <w:tc>
          <w:tcPr>
            <w:tcW w:w="938" w:type="dxa"/>
          </w:tcPr>
          <w:p w:rsidRPr="00D41A77" w:rsidR="00FD46D6" w:rsidP="00321BE6" w:rsidRDefault="00FD46D6" w14:paraId="792E547A" w14:textId="69F7DE4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1A77">
              <w:rPr>
                <w:rFonts w:ascii="Arial" w:hAnsi="Arial" w:cs="Arial"/>
                <w:sz w:val="24"/>
                <w:szCs w:val="24"/>
              </w:rPr>
              <w:t>Vaccines</w:t>
            </w:r>
          </w:p>
        </w:tc>
        <w:tc>
          <w:tcPr>
            <w:tcW w:w="1069" w:type="dxa"/>
          </w:tcPr>
          <w:p w:rsidRPr="00D41A77" w:rsidR="00FD46D6" w:rsidP="00321BE6" w:rsidRDefault="00FD46D6" w14:paraId="016BC136" w14:textId="157DA35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1A77">
              <w:rPr>
                <w:rFonts w:ascii="Arial" w:hAnsi="Arial" w:cs="Arial"/>
                <w:sz w:val="24"/>
                <w:szCs w:val="24"/>
              </w:rPr>
              <w:t>General Medicines</w:t>
            </w:r>
          </w:p>
        </w:tc>
        <w:tc>
          <w:tcPr>
            <w:tcW w:w="2327" w:type="dxa"/>
          </w:tcPr>
          <w:p w:rsidRPr="00D41A77" w:rsidR="00FD46D6" w:rsidP="00321BE6" w:rsidRDefault="00FD46D6" w14:paraId="1DDFF5E2" w14:textId="34C81B0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1A77">
              <w:rPr>
                <w:rFonts w:ascii="Arial" w:hAnsi="Arial" w:cs="Arial"/>
                <w:sz w:val="24"/>
                <w:szCs w:val="24"/>
              </w:rPr>
              <w:t>Specialty Medicines (cancer, HIV, respiratory)</w:t>
            </w:r>
          </w:p>
        </w:tc>
        <w:tc>
          <w:tcPr>
            <w:tcW w:w="1940" w:type="dxa"/>
          </w:tcPr>
          <w:p w:rsidRPr="00D41A77" w:rsidR="00FD46D6" w:rsidP="00321BE6" w:rsidRDefault="00FD46D6" w14:paraId="33E89A99" w14:textId="7A67578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1A77">
              <w:rPr>
                <w:rFonts w:ascii="Arial" w:hAnsi="Arial" w:cs="Arial"/>
                <w:sz w:val="24"/>
                <w:szCs w:val="24"/>
              </w:rPr>
              <w:t>Consumer Healthcare</w:t>
            </w:r>
          </w:p>
        </w:tc>
      </w:tr>
      <w:tr w:rsidRPr="00D41A77" w:rsidR="00FD46D6" w:rsidTr="00FD46D6" w14:paraId="355A70F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</w:tcPr>
          <w:p w:rsidRPr="00D41A77" w:rsidR="00FD46D6" w:rsidP="00321BE6" w:rsidRDefault="00FD46D6" w14:paraId="68292F77" w14:textId="306C9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A77">
              <w:rPr>
                <w:rFonts w:ascii="Arial" w:hAnsi="Arial" w:cs="Arial"/>
                <w:sz w:val="24"/>
                <w:szCs w:val="24"/>
              </w:rPr>
              <w:t>GSK</w:t>
            </w:r>
            <w:r w:rsidRPr="00D41A77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938" w:type="dxa"/>
          </w:tcPr>
          <w:p w:rsidRPr="00D41A77" w:rsidR="00FD46D6" w:rsidP="00321BE6" w:rsidRDefault="00FD46D6" w14:paraId="0F0EC9B7" w14:textId="292669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1A77">
              <w:rPr>
                <w:rFonts w:ascii="Arial" w:hAnsi="Arial" w:cs="Arial"/>
                <w:sz w:val="24"/>
                <w:szCs w:val="24"/>
              </w:rPr>
              <w:t>20+</w:t>
            </w:r>
          </w:p>
        </w:tc>
        <w:tc>
          <w:tcPr>
            <w:tcW w:w="1069" w:type="dxa"/>
          </w:tcPr>
          <w:p w:rsidRPr="00D41A77" w:rsidR="00FD46D6" w:rsidP="00321BE6" w:rsidRDefault="00FD46D6" w14:paraId="455D3105" w14:textId="7BD481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1A7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327" w:type="dxa"/>
          </w:tcPr>
          <w:p w:rsidRPr="00D41A77" w:rsidR="00FD46D6" w:rsidP="00321BE6" w:rsidRDefault="00FD46D6" w14:paraId="232E67DB" w14:textId="60BA64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1A7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40" w:type="dxa"/>
          </w:tcPr>
          <w:p w:rsidRPr="00D41A77" w:rsidR="00FD46D6" w:rsidP="00321BE6" w:rsidRDefault="00FD46D6" w14:paraId="46530AA2" w14:textId="2E89E1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1A77">
              <w:rPr>
                <w:rFonts w:ascii="Arial" w:hAnsi="Arial" w:cs="Arial"/>
                <w:sz w:val="24"/>
                <w:szCs w:val="24"/>
              </w:rPr>
              <w:t>~23</w:t>
            </w:r>
            <w:r w:rsidRPr="00D41A77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3"/>
            </w:r>
          </w:p>
        </w:tc>
      </w:tr>
      <w:tr w:rsidRPr="00D41A77" w:rsidR="00FD46D6" w:rsidTr="00FD46D6" w14:paraId="376821B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</w:tcPr>
          <w:p w:rsidRPr="00D41A77" w:rsidR="00FD46D6" w:rsidP="00321BE6" w:rsidRDefault="00FD46D6" w14:paraId="69ADA9FF" w14:textId="4A4A3E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A77">
              <w:rPr>
                <w:rFonts w:ascii="Arial" w:hAnsi="Arial" w:cs="Arial"/>
                <w:sz w:val="24"/>
                <w:szCs w:val="24"/>
              </w:rPr>
              <w:t>Smaller Biotech Pharma</w:t>
            </w:r>
          </w:p>
        </w:tc>
        <w:tc>
          <w:tcPr>
            <w:tcW w:w="938" w:type="dxa"/>
          </w:tcPr>
          <w:p w:rsidRPr="00D41A77" w:rsidR="00FD46D6" w:rsidP="00321BE6" w:rsidRDefault="00FD46D6" w14:paraId="465F80CA" w14:textId="777777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</w:tcPr>
          <w:p w:rsidRPr="00D41A77" w:rsidR="00FD46D6" w:rsidP="00321BE6" w:rsidRDefault="00FD46D6" w14:paraId="58DCA776" w14:textId="777777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</w:tcPr>
          <w:p w:rsidRPr="00D41A77" w:rsidR="00FD46D6" w:rsidP="00321BE6" w:rsidRDefault="00FD46D6" w14:paraId="24115128" w14:textId="777777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:rsidRPr="00D41A77" w:rsidR="00FD46D6" w:rsidP="00321BE6" w:rsidRDefault="00FD46D6" w14:paraId="4763259A" w14:textId="777777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D41A77" w:rsidR="00FD46D6" w:rsidTr="00FD46D6" w14:paraId="00E52C2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</w:tcPr>
          <w:p w:rsidRPr="00D41A77" w:rsidR="00FD46D6" w:rsidP="00321BE6" w:rsidRDefault="00FD46D6" w14:paraId="4CB27E28" w14:textId="64F2C2B4">
            <w:pPr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D41A77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Immunocore</w:t>
            </w:r>
            <w:proofErr w:type="spellEnd"/>
          </w:p>
        </w:tc>
        <w:tc>
          <w:tcPr>
            <w:tcW w:w="938" w:type="dxa"/>
          </w:tcPr>
          <w:p w:rsidRPr="00D41A77" w:rsidR="00FD46D6" w:rsidP="00321BE6" w:rsidRDefault="00FD46D6" w14:paraId="769E9E71" w14:textId="331118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1A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Pr="00D41A77" w:rsidR="00FD46D6" w:rsidP="00321BE6" w:rsidRDefault="00FD46D6" w14:paraId="3E31540E" w14:textId="31F49C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1A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27" w:type="dxa"/>
          </w:tcPr>
          <w:p w:rsidRPr="00D41A77" w:rsidR="00FD46D6" w:rsidP="00321BE6" w:rsidRDefault="00FD46D6" w14:paraId="0572726F" w14:textId="11FAD2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1A77">
              <w:rPr>
                <w:rFonts w:ascii="Arial" w:hAnsi="Arial" w:cs="Arial"/>
                <w:sz w:val="24"/>
                <w:szCs w:val="24"/>
              </w:rPr>
              <w:t>1</w:t>
            </w:r>
            <w:r w:rsidRPr="00D41A77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4"/>
            </w:r>
          </w:p>
        </w:tc>
        <w:tc>
          <w:tcPr>
            <w:tcW w:w="1940" w:type="dxa"/>
          </w:tcPr>
          <w:p w:rsidRPr="00D41A77" w:rsidR="00FD46D6" w:rsidP="00321BE6" w:rsidRDefault="00FD46D6" w14:paraId="129CBB88" w14:textId="159595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1A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Pr="00D41A77" w:rsidR="00FD46D6" w:rsidTr="00FD46D6" w14:paraId="1E77370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</w:tcPr>
          <w:p w:rsidRPr="00D41A77" w:rsidR="00FD46D6" w:rsidP="00321BE6" w:rsidRDefault="00FD46D6" w14:paraId="44676AED" w14:textId="342CBF08">
            <w:pPr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D41A77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Kymab</w:t>
            </w:r>
            <w:proofErr w:type="spellEnd"/>
          </w:p>
        </w:tc>
        <w:tc>
          <w:tcPr>
            <w:tcW w:w="938" w:type="dxa"/>
          </w:tcPr>
          <w:p w:rsidRPr="00D41A77" w:rsidR="00FD46D6" w:rsidP="00321BE6" w:rsidRDefault="00140B98" w14:paraId="4E7DEC4D" w14:textId="037891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1A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Pr="00D41A77" w:rsidR="00FD46D6" w:rsidP="00321BE6" w:rsidRDefault="00140B98" w14:paraId="4FDF1685" w14:textId="437DFD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1A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27" w:type="dxa"/>
          </w:tcPr>
          <w:p w:rsidRPr="00D41A77" w:rsidR="00FD46D6" w:rsidP="00321BE6" w:rsidRDefault="00140B98" w14:paraId="3C6FD045" w14:textId="6B9C36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1A77">
              <w:rPr>
                <w:rFonts w:ascii="Arial" w:hAnsi="Arial" w:cs="Arial"/>
                <w:sz w:val="24"/>
                <w:szCs w:val="24"/>
              </w:rPr>
              <w:t>-</w:t>
            </w:r>
            <w:r w:rsidRPr="00D41A77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5"/>
            </w:r>
          </w:p>
        </w:tc>
        <w:tc>
          <w:tcPr>
            <w:tcW w:w="1940" w:type="dxa"/>
          </w:tcPr>
          <w:p w:rsidRPr="00D41A77" w:rsidR="00FD46D6" w:rsidP="00321BE6" w:rsidRDefault="00140B98" w14:paraId="2895CCBF" w14:textId="0E2990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1A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Pr="00D41A77" w:rsidR="00F70379" w:rsidP="00321BE6" w:rsidRDefault="00F70379" w14:paraId="4A6A0650" w14:textId="77777777">
      <w:pPr>
        <w:jc w:val="both"/>
        <w:rPr>
          <w:rFonts w:ascii="Arial" w:hAnsi="Arial" w:cs="Arial"/>
          <w:sz w:val="24"/>
          <w:szCs w:val="24"/>
        </w:rPr>
      </w:pPr>
    </w:p>
    <w:p w:rsidR="00DA7D67" w:rsidP="00321BE6" w:rsidRDefault="00C34588" w14:paraId="5EF54035" w14:textId="0A7CFA1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41A77">
        <w:rPr>
          <w:rFonts w:ascii="Arial" w:hAnsi="Arial" w:cs="Arial"/>
          <w:sz w:val="24"/>
          <w:szCs w:val="24"/>
        </w:rPr>
        <w:t>Immunocore</w:t>
      </w:r>
      <w:proofErr w:type="spellEnd"/>
      <w:r w:rsidRPr="00D41A77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D41A77">
        <w:rPr>
          <w:rFonts w:ascii="Arial" w:hAnsi="Arial" w:cs="Arial"/>
          <w:sz w:val="24"/>
          <w:szCs w:val="24"/>
        </w:rPr>
        <w:t>Kymab</w:t>
      </w:r>
      <w:proofErr w:type="spellEnd"/>
      <w:r w:rsidRPr="00D41A77">
        <w:rPr>
          <w:rFonts w:ascii="Arial" w:hAnsi="Arial" w:cs="Arial"/>
          <w:sz w:val="24"/>
          <w:szCs w:val="24"/>
        </w:rPr>
        <w:t xml:space="preserve"> are used as r</w:t>
      </w:r>
      <w:r w:rsidRPr="00D41A77" w:rsidR="00EC25A7">
        <w:rPr>
          <w:rFonts w:ascii="Arial" w:hAnsi="Arial" w:cs="Arial"/>
          <w:sz w:val="24"/>
          <w:szCs w:val="24"/>
        </w:rPr>
        <w:t>epresentative</w:t>
      </w:r>
      <w:r w:rsidRPr="00D41A77" w:rsidR="00DC0CBF">
        <w:rPr>
          <w:rFonts w:ascii="Arial" w:hAnsi="Arial" w:cs="Arial"/>
          <w:sz w:val="24"/>
          <w:szCs w:val="24"/>
        </w:rPr>
        <w:t xml:space="preserve"> cases</w:t>
      </w:r>
      <w:r w:rsidRPr="00D41A77" w:rsidR="00EC25A7">
        <w:rPr>
          <w:rFonts w:ascii="Arial" w:hAnsi="Arial" w:cs="Arial"/>
          <w:sz w:val="24"/>
          <w:szCs w:val="24"/>
        </w:rPr>
        <w:t xml:space="preserve"> for </w:t>
      </w:r>
      <w:r w:rsidRPr="00D41A77" w:rsidR="00DC0CBF">
        <w:rPr>
          <w:rFonts w:ascii="Arial" w:hAnsi="Arial" w:cs="Arial"/>
          <w:sz w:val="24"/>
          <w:szCs w:val="24"/>
        </w:rPr>
        <w:t>small</w:t>
      </w:r>
      <w:r w:rsidRPr="00D41A77" w:rsidR="00EC25A7">
        <w:rPr>
          <w:rFonts w:ascii="Arial" w:hAnsi="Arial" w:cs="Arial"/>
          <w:sz w:val="24"/>
          <w:szCs w:val="24"/>
        </w:rPr>
        <w:t xml:space="preserve"> biotech pharma </w:t>
      </w:r>
      <w:r w:rsidRPr="00D41A77" w:rsidR="004C077C">
        <w:rPr>
          <w:rFonts w:ascii="Arial" w:hAnsi="Arial" w:cs="Arial"/>
          <w:sz w:val="24"/>
          <w:szCs w:val="24"/>
        </w:rPr>
        <w:t>companies.</w:t>
      </w:r>
      <w:r w:rsidRPr="00D41A77" w:rsidR="00DC0CBF">
        <w:rPr>
          <w:rFonts w:ascii="Arial" w:hAnsi="Arial" w:cs="Arial"/>
          <w:sz w:val="24"/>
          <w:szCs w:val="24"/>
        </w:rPr>
        <w:t xml:space="preserve">  Small biotech companies </w:t>
      </w:r>
      <w:r w:rsidRPr="00D41A77" w:rsidR="00F4274B">
        <w:rPr>
          <w:rFonts w:ascii="Arial" w:hAnsi="Arial" w:cs="Arial"/>
          <w:sz w:val="24"/>
          <w:szCs w:val="24"/>
        </w:rPr>
        <w:t xml:space="preserve">usually play a supplier role in the pharmaceuticals market rather than competing with the oligopolists.  </w:t>
      </w:r>
      <w:proofErr w:type="spellStart"/>
      <w:r w:rsidRPr="00D41A77" w:rsidR="00101FBA">
        <w:rPr>
          <w:rFonts w:ascii="Arial" w:hAnsi="Arial" w:cs="Arial"/>
          <w:sz w:val="24"/>
          <w:szCs w:val="24"/>
        </w:rPr>
        <w:t>UKBiotech</w:t>
      </w:r>
      <w:proofErr w:type="spellEnd"/>
      <w:r w:rsidRPr="00D41A77" w:rsidR="00101FB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tag w:val="MENDELEY_CITATION_v3_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"/>
          <w:id w:val="467638809"/>
          <w:placeholder>
            <w:docPart w:val="DefaultPlaceholder_-1854013440"/>
          </w:placeholder>
        </w:sdtPr>
        <w:sdtContent>
          <w:r w:rsidRPr="0019450C" w:rsidR="0019450C">
            <w:rPr>
              <w:rFonts w:ascii="Arial" w:hAnsi="Arial" w:cs="Arial"/>
              <w:color w:val="000000"/>
              <w:sz w:val="24"/>
              <w:szCs w:val="24"/>
            </w:rPr>
            <w:t>(UK Biotech Database, n.d.)</w:t>
          </w:r>
        </w:sdtContent>
      </w:sdt>
      <w:r w:rsidR="00FD1E93">
        <w:rPr>
          <w:rFonts w:ascii="Arial" w:hAnsi="Arial" w:cs="Arial"/>
          <w:sz w:val="24"/>
          <w:szCs w:val="24"/>
        </w:rPr>
        <w:t xml:space="preserve"> </w:t>
      </w:r>
      <w:r w:rsidRPr="00D41A77" w:rsidR="00101FBA">
        <w:rPr>
          <w:rFonts w:ascii="Arial" w:hAnsi="Arial" w:cs="Arial"/>
          <w:sz w:val="24"/>
          <w:szCs w:val="24"/>
        </w:rPr>
        <w:t xml:space="preserve">states that </w:t>
      </w:r>
      <w:r w:rsidRPr="00D41A77" w:rsidR="00E169C2">
        <w:rPr>
          <w:rFonts w:ascii="Arial" w:hAnsi="Arial" w:cs="Arial"/>
          <w:sz w:val="24"/>
          <w:szCs w:val="24"/>
        </w:rPr>
        <w:t xml:space="preserve">large pharma companies depend (to an extent) on </w:t>
      </w:r>
      <w:r w:rsidRPr="00D41A77" w:rsidR="00652A51">
        <w:rPr>
          <w:rFonts w:ascii="Arial" w:hAnsi="Arial" w:cs="Arial"/>
          <w:sz w:val="24"/>
          <w:szCs w:val="24"/>
        </w:rPr>
        <w:t xml:space="preserve">smaller biotech companies for origination of pipelines of novel </w:t>
      </w:r>
      <w:r w:rsidRPr="00D41A77" w:rsidR="00C70777">
        <w:rPr>
          <w:rFonts w:ascii="Arial" w:hAnsi="Arial" w:cs="Arial"/>
          <w:sz w:val="24"/>
          <w:szCs w:val="24"/>
        </w:rPr>
        <w:t xml:space="preserve">compounds which may then be licensed.  </w:t>
      </w:r>
      <w:r w:rsidRPr="00D41A77" w:rsidR="000722D9">
        <w:rPr>
          <w:rFonts w:ascii="Arial" w:hAnsi="Arial" w:cs="Arial"/>
          <w:sz w:val="24"/>
          <w:szCs w:val="24"/>
        </w:rPr>
        <w:t xml:space="preserve">This market strategy is further borne out in </w:t>
      </w:r>
      <w:proofErr w:type="spellStart"/>
      <w:r w:rsidRPr="00D41A77" w:rsidR="004C3C25">
        <w:rPr>
          <w:rFonts w:ascii="Arial" w:hAnsi="Arial" w:cs="Arial"/>
          <w:sz w:val="24"/>
          <w:szCs w:val="24"/>
        </w:rPr>
        <w:t>Immunocore’s</w:t>
      </w:r>
      <w:proofErr w:type="spellEnd"/>
      <w:r w:rsidRPr="00D41A77" w:rsidR="004C3C25">
        <w:rPr>
          <w:rFonts w:ascii="Arial" w:hAnsi="Arial" w:cs="Arial"/>
          <w:sz w:val="24"/>
          <w:szCs w:val="24"/>
        </w:rPr>
        <w:t xml:space="preserve"> partnership with GSK and </w:t>
      </w:r>
      <w:r w:rsidRPr="00D41A77" w:rsidR="004E7B79">
        <w:rPr>
          <w:rFonts w:ascii="Arial" w:hAnsi="Arial" w:cs="Arial"/>
          <w:sz w:val="24"/>
          <w:szCs w:val="24"/>
        </w:rPr>
        <w:t>others</w:t>
      </w:r>
      <w:r w:rsidRPr="00D41A77" w:rsidR="004C3C25">
        <w:rPr>
          <w:rFonts w:ascii="Arial" w:hAnsi="Arial" w:cs="Arial"/>
          <w:sz w:val="24"/>
          <w:szCs w:val="24"/>
        </w:rPr>
        <w:t xml:space="preserve"> for </w:t>
      </w:r>
      <w:r w:rsidRPr="00D41A77" w:rsidR="004E7B79">
        <w:rPr>
          <w:rFonts w:ascii="Arial" w:hAnsi="Arial" w:cs="Arial"/>
          <w:sz w:val="24"/>
          <w:szCs w:val="24"/>
        </w:rPr>
        <w:t>the development of certain pharma compounds</w:t>
      </w:r>
      <w:r w:rsidRPr="00D41A77" w:rsidR="004C3C25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D41A77" w:rsidR="00797C36">
        <w:rPr>
          <w:rFonts w:ascii="Arial" w:hAnsi="Arial" w:cs="Arial"/>
          <w:sz w:val="24"/>
          <w:szCs w:val="24"/>
        </w:rPr>
        <w:t>Kymab’s</w:t>
      </w:r>
      <w:proofErr w:type="spellEnd"/>
      <w:r w:rsidRPr="00D41A77" w:rsidR="00797C36">
        <w:rPr>
          <w:rFonts w:ascii="Arial" w:hAnsi="Arial" w:cs="Arial"/>
          <w:sz w:val="24"/>
          <w:szCs w:val="24"/>
        </w:rPr>
        <w:t xml:space="preserve"> business strategy as a clinical stage biotech pharma</w:t>
      </w:r>
      <w:r w:rsidRPr="00D41A77" w:rsidR="004E7B79">
        <w:rPr>
          <w:rFonts w:ascii="Arial" w:hAnsi="Arial" w:cs="Arial"/>
          <w:sz w:val="24"/>
          <w:szCs w:val="24"/>
        </w:rPr>
        <w:t xml:space="preserve"> company</w:t>
      </w:r>
      <w:r w:rsidRPr="00D41A77" w:rsidR="00797C36">
        <w:rPr>
          <w:rFonts w:ascii="Arial" w:hAnsi="Arial" w:cs="Arial"/>
          <w:sz w:val="24"/>
          <w:szCs w:val="24"/>
        </w:rPr>
        <w:t xml:space="preserve">. </w:t>
      </w:r>
    </w:p>
    <w:p w:rsidR="00FD1E93" w:rsidP="00321BE6" w:rsidRDefault="00FD1E93" w14:paraId="5A8C3D36" w14:textId="51151B34">
      <w:pPr>
        <w:jc w:val="both"/>
        <w:rPr>
          <w:rFonts w:ascii="Arial" w:hAnsi="Arial" w:cs="Arial"/>
          <w:sz w:val="24"/>
          <w:szCs w:val="24"/>
        </w:rPr>
      </w:pPr>
    </w:p>
    <w:p w:rsidR="00FD1E93" w:rsidP="00FD1E93" w:rsidRDefault="00FD1E93" w14:paraId="31C18AE2" w14:textId="4EA86852">
      <w:pPr>
        <w:pStyle w:val="Heading2"/>
      </w:pPr>
      <w:r>
        <w:t>References</w:t>
      </w:r>
    </w:p>
    <w:sdt>
      <w:sdtPr>
        <w:rPr>
          <w:rFonts w:ascii="Arial" w:hAnsi="Arial" w:cs="Arial"/>
          <w:sz w:val="24"/>
          <w:szCs w:val="24"/>
        </w:rPr>
        <w:tag w:val="MENDELEY_BIBLIOGRAPHY"/>
        <w:id w:val="730430651"/>
        <w:placeholder>
          <w:docPart w:val="DefaultPlaceholder_-1854013440"/>
        </w:placeholder>
      </w:sdtPr>
      <w:sdtContent>
        <w:p w:rsidRPr="0019450C" w:rsidR="0019450C" w:rsidRDefault="0019450C" w14:paraId="02519C93" w14:textId="77777777">
          <w:pPr>
            <w:autoSpaceDE w:val="0"/>
            <w:autoSpaceDN w:val="0"/>
            <w:ind w:hanging="480"/>
            <w:divId w:val="2006125369"/>
            <w:rPr>
              <w:rFonts w:ascii="Arial" w:hAnsi="Arial" w:eastAsia="Times New Roman" w:cs="Arial"/>
              <w:sz w:val="24"/>
              <w:szCs w:val="24"/>
            </w:rPr>
          </w:pPr>
          <w:r w:rsidRPr="0019450C">
            <w:rPr>
              <w:rFonts w:ascii="Arial" w:hAnsi="Arial" w:eastAsia="Times New Roman" w:cs="Arial"/>
              <w:sz w:val="24"/>
              <w:szCs w:val="24"/>
            </w:rPr>
            <w:t xml:space="preserve">Bhandari, M., Cooney, D., </w:t>
          </w:r>
          <w:proofErr w:type="spellStart"/>
          <w:r w:rsidRPr="0019450C">
            <w:rPr>
              <w:rFonts w:ascii="Arial" w:hAnsi="Arial" w:eastAsia="Times New Roman" w:cs="Arial"/>
              <w:sz w:val="24"/>
              <w:szCs w:val="24"/>
            </w:rPr>
            <w:t>Devereson</w:t>
          </w:r>
          <w:proofErr w:type="spellEnd"/>
          <w:r w:rsidRPr="0019450C">
            <w:rPr>
              <w:rFonts w:ascii="Arial" w:hAnsi="Arial" w:eastAsia="Times New Roman" w:cs="Arial"/>
              <w:sz w:val="24"/>
              <w:szCs w:val="24"/>
            </w:rPr>
            <w:t xml:space="preserve">, A., Moss, R., &amp; </w:t>
          </w:r>
          <w:proofErr w:type="spellStart"/>
          <w:r w:rsidRPr="0019450C">
            <w:rPr>
              <w:rFonts w:ascii="Arial" w:hAnsi="Arial" w:eastAsia="Times New Roman" w:cs="Arial"/>
              <w:sz w:val="24"/>
              <w:szCs w:val="24"/>
            </w:rPr>
            <w:t>Thaker</w:t>
          </w:r>
          <w:proofErr w:type="spellEnd"/>
          <w:r w:rsidRPr="0019450C">
            <w:rPr>
              <w:rFonts w:ascii="Arial" w:hAnsi="Arial" w:eastAsia="Times New Roman" w:cs="Arial"/>
              <w:sz w:val="24"/>
              <w:szCs w:val="24"/>
            </w:rPr>
            <w:t xml:space="preserve">, S. (2021, December 3). </w:t>
          </w:r>
          <w:r w:rsidRPr="0019450C">
            <w:rPr>
              <w:rFonts w:ascii="Arial" w:hAnsi="Arial" w:eastAsia="Times New Roman" w:cs="Arial"/>
              <w:i/>
              <w:iCs/>
              <w:sz w:val="24"/>
              <w:szCs w:val="24"/>
            </w:rPr>
            <w:t>The UK biotech sector: The path to global leadership</w:t>
          </w:r>
          <w:r w:rsidRPr="0019450C">
            <w:rPr>
              <w:rFonts w:ascii="Arial" w:hAnsi="Arial" w:eastAsia="Times New Roman" w:cs="Arial"/>
              <w:sz w:val="24"/>
              <w:szCs w:val="24"/>
            </w:rPr>
            <w:t>. McKinsey’s Life Sciences Practice. https://www.mckinsey.com/industries/life-sciences/our-insights/the-uk-biotech-sector-the-path-to-global-leadership</w:t>
          </w:r>
        </w:p>
        <w:p w:rsidRPr="0019450C" w:rsidR="0019450C" w:rsidRDefault="0019450C" w14:paraId="0FF052F3" w14:textId="77777777">
          <w:pPr>
            <w:autoSpaceDE w:val="0"/>
            <w:autoSpaceDN w:val="0"/>
            <w:ind w:hanging="480"/>
            <w:divId w:val="120924360"/>
            <w:rPr>
              <w:rFonts w:ascii="Arial" w:hAnsi="Arial" w:eastAsia="Times New Roman" w:cs="Arial"/>
              <w:sz w:val="24"/>
              <w:szCs w:val="24"/>
            </w:rPr>
          </w:pPr>
          <w:proofErr w:type="spellStart"/>
          <w:r w:rsidRPr="0019450C">
            <w:rPr>
              <w:rFonts w:ascii="Arial" w:hAnsi="Arial" w:eastAsia="Times New Roman" w:cs="Arial"/>
              <w:sz w:val="24"/>
              <w:szCs w:val="24"/>
            </w:rPr>
            <w:t>Nellis</w:t>
          </w:r>
          <w:proofErr w:type="spellEnd"/>
          <w:r w:rsidRPr="0019450C">
            <w:rPr>
              <w:rFonts w:ascii="Arial" w:hAnsi="Arial" w:eastAsia="Times New Roman" w:cs="Arial"/>
              <w:sz w:val="24"/>
              <w:szCs w:val="24"/>
            </w:rPr>
            <w:t xml:space="preserve">, J. G., &amp; Parker, D. (2006). </w:t>
          </w:r>
          <w:r w:rsidRPr="0019450C">
            <w:rPr>
              <w:rFonts w:ascii="Arial" w:hAnsi="Arial" w:eastAsia="Times New Roman" w:cs="Arial"/>
              <w:i/>
              <w:iCs/>
              <w:sz w:val="24"/>
              <w:szCs w:val="24"/>
            </w:rPr>
            <w:t>Principles of Business Economics, 2nd edition</w:t>
          </w:r>
          <w:r w:rsidRPr="0019450C">
            <w:rPr>
              <w:rFonts w:ascii="Arial" w:hAnsi="Arial" w:eastAsia="Times New Roman" w:cs="Arial"/>
              <w:sz w:val="24"/>
              <w:szCs w:val="24"/>
            </w:rPr>
            <w:t>. Harlow: Pearson Education Limited.</w:t>
          </w:r>
        </w:p>
        <w:p w:rsidRPr="0019450C" w:rsidR="0019450C" w:rsidRDefault="0019450C" w14:paraId="11AAF9D1" w14:textId="77777777">
          <w:pPr>
            <w:autoSpaceDE w:val="0"/>
            <w:autoSpaceDN w:val="0"/>
            <w:ind w:hanging="480"/>
            <w:divId w:val="130947386"/>
            <w:rPr>
              <w:rFonts w:ascii="Arial" w:hAnsi="Arial" w:eastAsia="Times New Roman" w:cs="Arial"/>
              <w:sz w:val="24"/>
              <w:szCs w:val="24"/>
            </w:rPr>
          </w:pPr>
          <w:r w:rsidRPr="0019450C">
            <w:rPr>
              <w:rFonts w:ascii="Arial" w:hAnsi="Arial" w:eastAsia="Times New Roman" w:cs="Arial"/>
              <w:sz w:val="24"/>
              <w:szCs w:val="24"/>
            </w:rPr>
            <w:t xml:space="preserve">Research and Markets. (2018, June 14). </w:t>
          </w:r>
          <w:r w:rsidRPr="0019450C">
            <w:rPr>
              <w:rFonts w:ascii="Arial" w:hAnsi="Arial" w:eastAsia="Times New Roman" w:cs="Arial"/>
              <w:i/>
              <w:iCs/>
              <w:sz w:val="24"/>
              <w:szCs w:val="24"/>
            </w:rPr>
            <w:t>Global Mid-Size Pharmaceutical Market 2016-2018 &amp; 2021: Market is Projected to Grow from Approximately $1.1 Trillion in 2016 to $1.5 Trillion in 2021</w:t>
          </w:r>
          <w:r w:rsidRPr="0019450C">
            <w:rPr>
              <w:rFonts w:ascii="Arial" w:hAnsi="Arial" w:eastAsia="Times New Roman" w:cs="Arial"/>
              <w:sz w:val="24"/>
              <w:szCs w:val="24"/>
            </w:rPr>
            <w:t>. https://www.prnewswire.com/news-releases/global-mid-size-pharmaceutical-market-2016-2018--2021-market-is-projected-to-grow-from-approximately-1-1-trillion-in-2016-to-1-5-trillion-in-2021--300666386.html</w:t>
          </w:r>
        </w:p>
        <w:p w:rsidRPr="0019450C" w:rsidR="0019450C" w:rsidRDefault="0019450C" w14:paraId="673E809E" w14:textId="77777777">
          <w:pPr>
            <w:autoSpaceDE w:val="0"/>
            <w:autoSpaceDN w:val="0"/>
            <w:ind w:hanging="480"/>
            <w:divId w:val="1561093793"/>
            <w:rPr>
              <w:rFonts w:ascii="Arial" w:hAnsi="Arial" w:eastAsia="Times New Roman" w:cs="Arial"/>
              <w:sz w:val="24"/>
              <w:szCs w:val="24"/>
            </w:rPr>
          </w:pPr>
          <w:r w:rsidRPr="0019450C">
            <w:rPr>
              <w:rFonts w:ascii="Arial" w:hAnsi="Arial" w:eastAsia="Times New Roman" w:cs="Arial"/>
              <w:sz w:val="24"/>
              <w:szCs w:val="24"/>
            </w:rPr>
            <w:t xml:space="preserve">UK Biotech Database. (n.d.). </w:t>
          </w:r>
          <w:r w:rsidRPr="0019450C">
            <w:rPr>
              <w:rFonts w:ascii="Arial" w:hAnsi="Arial" w:eastAsia="Times New Roman" w:cs="Arial"/>
              <w:i/>
              <w:iCs/>
              <w:sz w:val="24"/>
              <w:szCs w:val="24"/>
            </w:rPr>
            <w:t>Definitions of available industry sectors and subsectors</w:t>
          </w:r>
          <w:r w:rsidRPr="0019450C">
            <w:rPr>
              <w:rFonts w:ascii="Arial" w:hAnsi="Arial" w:eastAsia="Times New Roman" w:cs="Arial"/>
              <w:sz w:val="24"/>
              <w:szCs w:val="24"/>
            </w:rPr>
            <w:t>. Retrieved September 6, 2022, from https://www.ukbiotech.com/uk/portal/definitions.php</w:t>
          </w:r>
        </w:p>
        <w:p w:rsidRPr="00D41A77" w:rsidR="00FD1E93" w:rsidP="00321BE6" w:rsidRDefault="0019450C" w14:paraId="2DB6EC61" w14:textId="63D9285B">
          <w:pPr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eastAsia="Times New Roman"/>
            </w:rPr>
            <w:t> </w:t>
          </w:r>
        </w:p>
      </w:sdtContent>
    </w:sdt>
    <w:sectPr w:rsidRPr="00D41A77" w:rsidR="00FD1E9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45D2" w:rsidP="00605F81" w:rsidRDefault="00F645D2" w14:paraId="61713707" w14:textId="77777777">
      <w:pPr>
        <w:spacing w:after="0" w:line="240" w:lineRule="auto"/>
      </w:pPr>
      <w:r>
        <w:separator/>
      </w:r>
    </w:p>
  </w:endnote>
  <w:endnote w:type="continuationSeparator" w:id="0">
    <w:p w:rsidR="00F645D2" w:rsidP="00605F81" w:rsidRDefault="00F645D2" w14:paraId="225AA0CA" w14:textId="77777777">
      <w:pPr>
        <w:spacing w:after="0" w:line="240" w:lineRule="auto"/>
      </w:pPr>
      <w:r>
        <w:continuationSeparator/>
      </w:r>
    </w:p>
  </w:endnote>
  <w:endnote w:type="continuationNotice" w:id="1">
    <w:p w:rsidR="009447FD" w:rsidRDefault="009447FD" w14:paraId="43F8652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45D2" w:rsidP="00605F81" w:rsidRDefault="00F645D2" w14:paraId="2A901AD5" w14:textId="77777777">
      <w:pPr>
        <w:spacing w:after="0" w:line="240" w:lineRule="auto"/>
      </w:pPr>
      <w:r>
        <w:separator/>
      </w:r>
    </w:p>
  </w:footnote>
  <w:footnote w:type="continuationSeparator" w:id="0">
    <w:p w:rsidR="00F645D2" w:rsidP="00605F81" w:rsidRDefault="00F645D2" w14:paraId="4F07E967" w14:textId="77777777">
      <w:pPr>
        <w:spacing w:after="0" w:line="240" w:lineRule="auto"/>
      </w:pPr>
      <w:r>
        <w:continuationSeparator/>
      </w:r>
    </w:p>
  </w:footnote>
  <w:footnote w:type="continuationNotice" w:id="1">
    <w:p w:rsidR="009447FD" w:rsidRDefault="009447FD" w14:paraId="2605A846" w14:textId="77777777">
      <w:pPr>
        <w:spacing w:after="0" w:line="240" w:lineRule="auto"/>
      </w:pPr>
    </w:p>
  </w:footnote>
  <w:footnote w:id="2">
    <w:p w:rsidR="00FD46D6" w:rsidRDefault="00FD46D6" w14:paraId="506B034E" w14:textId="51B37F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D3B91">
        <w:t>https://www.gsk.com/en-gb/products/products-a-z/</w:t>
      </w:r>
    </w:p>
  </w:footnote>
  <w:footnote w:id="3">
    <w:p w:rsidR="00FD46D6" w:rsidRDefault="00FD46D6" w14:paraId="798254B3" w14:textId="01B19C17">
      <w:pPr>
        <w:pStyle w:val="FootnoteText"/>
      </w:pPr>
      <w:r>
        <w:rPr>
          <w:rStyle w:val="FootnoteReference"/>
        </w:rPr>
        <w:footnoteRef/>
      </w:r>
      <w:r>
        <w:t xml:space="preserve"> Through </w:t>
      </w:r>
      <w:proofErr w:type="spellStart"/>
      <w:r>
        <w:t>Haleon</w:t>
      </w:r>
      <w:proofErr w:type="spellEnd"/>
      <w:r>
        <w:t xml:space="preserve"> </w:t>
      </w:r>
      <w:r w:rsidRPr="004A52AF">
        <w:t>https://www.haleon.com/our-brands/</w:t>
      </w:r>
    </w:p>
  </w:footnote>
  <w:footnote w:id="4">
    <w:p w:rsidR="00FD46D6" w:rsidRDefault="00FD46D6" w14:paraId="5E619A39" w14:textId="54C986B0">
      <w:pPr>
        <w:pStyle w:val="FootnoteText"/>
      </w:pPr>
      <w:r>
        <w:rPr>
          <w:rStyle w:val="FootnoteReference"/>
        </w:rPr>
        <w:footnoteRef/>
      </w:r>
      <w:r>
        <w:t xml:space="preserve"> One product approved.  Others at pre-clinical and clinical stages. (2021 Annual Report)</w:t>
      </w:r>
    </w:p>
  </w:footnote>
  <w:footnote w:id="5">
    <w:p w:rsidR="00140B98" w:rsidRDefault="00140B98" w14:paraId="62DD6066" w14:textId="3F9E2E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44DD5">
        <w:t>Clinical stage biotech pharma company developing antibody therapies (2020 Annual Report)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83536"/>
    <w:multiLevelType w:val="hybridMultilevel"/>
    <w:tmpl w:val="747AF9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FB342F1"/>
    <w:multiLevelType w:val="hybridMultilevel"/>
    <w:tmpl w:val="C004E90A"/>
    <w:lvl w:ilvl="0" w:tplc="08090001">
      <w:start w:val="1"/>
      <w:numFmt w:val="bullet"/>
      <w:lvlText w:val=""/>
      <w:lvlJc w:val="left"/>
      <w:pPr>
        <w:ind w:left="77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hint="default" w:ascii="Wingdings" w:hAnsi="Wingdings"/>
      </w:rPr>
    </w:lvl>
  </w:abstractNum>
  <w:abstractNum w:abstractNumId="2" w15:restartNumberingAfterBreak="0">
    <w:nsid w:val="5B440DED"/>
    <w:multiLevelType w:val="hybridMultilevel"/>
    <w:tmpl w:val="84E01352"/>
    <w:lvl w:ilvl="0" w:tplc="0A6E7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07896">
    <w:abstractNumId w:val="1"/>
  </w:num>
  <w:num w:numId="2" w16cid:durableId="1812674797">
    <w:abstractNumId w:val="0"/>
  </w:num>
  <w:num w:numId="3" w16cid:durableId="1571112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81"/>
    <w:rsid w:val="0000760C"/>
    <w:rsid w:val="00015411"/>
    <w:rsid w:val="00021750"/>
    <w:rsid w:val="0002569B"/>
    <w:rsid w:val="00030C0E"/>
    <w:rsid w:val="00041B79"/>
    <w:rsid w:val="00044DD5"/>
    <w:rsid w:val="000569F6"/>
    <w:rsid w:val="0007143F"/>
    <w:rsid w:val="00071B23"/>
    <w:rsid w:val="000722D9"/>
    <w:rsid w:val="00075FDF"/>
    <w:rsid w:val="00095C9C"/>
    <w:rsid w:val="000A41B3"/>
    <w:rsid w:val="000D35CF"/>
    <w:rsid w:val="000E0DCB"/>
    <w:rsid w:val="00101FBA"/>
    <w:rsid w:val="00140B98"/>
    <w:rsid w:val="001433C1"/>
    <w:rsid w:val="00164325"/>
    <w:rsid w:val="00165B32"/>
    <w:rsid w:val="00172121"/>
    <w:rsid w:val="00177360"/>
    <w:rsid w:val="00184892"/>
    <w:rsid w:val="00190D73"/>
    <w:rsid w:val="0019450C"/>
    <w:rsid w:val="00194C58"/>
    <w:rsid w:val="001969AB"/>
    <w:rsid w:val="001B171E"/>
    <w:rsid w:val="001B2637"/>
    <w:rsid w:val="001B6395"/>
    <w:rsid w:val="001D5C2F"/>
    <w:rsid w:val="001E6C26"/>
    <w:rsid w:val="0021064A"/>
    <w:rsid w:val="002130B5"/>
    <w:rsid w:val="00233E6C"/>
    <w:rsid w:val="00234DCE"/>
    <w:rsid w:val="0026294C"/>
    <w:rsid w:val="002765ED"/>
    <w:rsid w:val="0028663C"/>
    <w:rsid w:val="002955F5"/>
    <w:rsid w:val="002E0AF3"/>
    <w:rsid w:val="00304F51"/>
    <w:rsid w:val="00307088"/>
    <w:rsid w:val="00314716"/>
    <w:rsid w:val="00321BE6"/>
    <w:rsid w:val="00329557"/>
    <w:rsid w:val="00333BE1"/>
    <w:rsid w:val="003456CD"/>
    <w:rsid w:val="0035246C"/>
    <w:rsid w:val="003709AF"/>
    <w:rsid w:val="00372257"/>
    <w:rsid w:val="003763F0"/>
    <w:rsid w:val="003A5575"/>
    <w:rsid w:val="003B719F"/>
    <w:rsid w:val="003B75FE"/>
    <w:rsid w:val="003E4B69"/>
    <w:rsid w:val="003F3193"/>
    <w:rsid w:val="003F5B87"/>
    <w:rsid w:val="00463E54"/>
    <w:rsid w:val="00477782"/>
    <w:rsid w:val="00490056"/>
    <w:rsid w:val="00497006"/>
    <w:rsid w:val="004A52AF"/>
    <w:rsid w:val="004C077C"/>
    <w:rsid w:val="004C3C25"/>
    <w:rsid w:val="004D27BB"/>
    <w:rsid w:val="004D72EA"/>
    <w:rsid w:val="004E7B79"/>
    <w:rsid w:val="004F2C30"/>
    <w:rsid w:val="005050E0"/>
    <w:rsid w:val="00520375"/>
    <w:rsid w:val="0052399B"/>
    <w:rsid w:val="00537B0C"/>
    <w:rsid w:val="0056577D"/>
    <w:rsid w:val="0057700E"/>
    <w:rsid w:val="005C0867"/>
    <w:rsid w:val="005E1172"/>
    <w:rsid w:val="00605F81"/>
    <w:rsid w:val="006215F3"/>
    <w:rsid w:val="0064681B"/>
    <w:rsid w:val="00652A51"/>
    <w:rsid w:val="0068447F"/>
    <w:rsid w:val="0069424F"/>
    <w:rsid w:val="006C11AD"/>
    <w:rsid w:val="006D00B3"/>
    <w:rsid w:val="006D4AFA"/>
    <w:rsid w:val="00704226"/>
    <w:rsid w:val="00732918"/>
    <w:rsid w:val="00766587"/>
    <w:rsid w:val="00766BF3"/>
    <w:rsid w:val="0076773D"/>
    <w:rsid w:val="00797C36"/>
    <w:rsid w:val="007D0CEC"/>
    <w:rsid w:val="007E79B5"/>
    <w:rsid w:val="007F5AFF"/>
    <w:rsid w:val="0080032D"/>
    <w:rsid w:val="008067D2"/>
    <w:rsid w:val="00843586"/>
    <w:rsid w:val="00853B4E"/>
    <w:rsid w:val="00862B50"/>
    <w:rsid w:val="00871435"/>
    <w:rsid w:val="008A36B1"/>
    <w:rsid w:val="008A5529"/>
    <w:rsid w:val="008A57D9"/>
    <w:rsid w:val="008B5048"/>
    <w:rsid w:val="008C4AF5"/>
    <w:rsid w:val="009447FD"/>
    <w:rsid w:val="0095399D"/>
    <w:rsid w:val="00960F2E"/>
    <w:rsid w:val="00976E9D"/>
    <w:rsid w:val="00995059"/>
    <w:rsid w:val="009A7B99"/>
    <w:rsid w:val="009B48A2"/>
    <w:rsid w:val="009D1B02"/>
    <w:rsid w:val="009D353F"/>
    <w:rsid w:val="009F126F"/>
    <w:rsid w:val="009F3FC2"/>
    <w:rsid w:val="00A05133"/>
    <w:rsid w:val="00A11EE9"/>
    <w:rsid w:val="00A1579A"/>
    <w:rsid w:val="00A1655D"/>
    <w:rsid w:val="00A24E3C"/>
    <w:rsid w:val="00A44444"/>
    <w:rsid w:val="00A97307"/>
    <w:rsid w:val="00AA3C53"/>
    <w:rsid w:val="00AB6ACE"/>
    <w:rsid w:val="00AC7033"/>
    <w:rsid w:val="00AC777F"/>
    <w:rsid w:val="00AE2BF2"/>
    <w:rsid w:val="00B05419"/>
    <w:rsid w:val="00B20A5C"/>
    <w:rsid w:val="00B37B06"/>
    <w:rsid w:val="00BD3B91"/>
    <w:rsid w:val="00C3066F"/>
    <w:rsid w:val="00C34588"/>
    <w:rsid w:val="00C41431"/>
    <w:rsid w:val="00C70777"/>
    <w:rsid w:val="00C74808"/>
    <w:rsid w:val="00C8606F"/>
    <w:rsid w:val="00CA02E7"/>
    <w:rsid w:val="00CA530B"/>
    <w:rsid w:val="00CD5249"/>
    <w:rsid w:val="00CE03D4"/>
    <w:rsid w:val="00CE1193"/>
    <w:rsid w:val="00CE4A38"/>
    <w:rsid w:val="00CE56EA"/>
    <w:rsid w:val="00D24BF9"/>
    <w:rsid w:val="00D36815"/>
    <w:rsid w:val="00D41A77"/>
    <w:rsid w:val="00D50E4B"/>
    <w:rsid w:val="00D65441"/>
    <w:rsid w:val="00DA7D67"/>
    <w:rsid w:val="00DB44B8"/>
    <w:rsid w:val="00DB7F91"/>
    <w:rsid w:val="00DC0CBF"/>
    <w:rsid w:val="00DF2BC3"/>
    <w:rsid w:val="00DF65C4"/>
    <w:rsid w:val="00E1655C"/>
    <w:rsid w:val="00E169C2"/>
    <w:rsid w:val="00E767FF"/>
    <w:rsid w:val="00E90205"/>
    <w:rsid w:val="00E95074"/>
    <w:rsid w:val="00EA2BDD"/>
    <w:rsid w:val="00EC25A7"/>
    <w:rsid w:val="00EC42E4"/>
    <w:rsid w:val="00ED2087"/>
    <w:rsid w:val="00F05FE2"/>
    <w:rsid w:val="00F0730F"/>
    <w:rsid w:val="00F151EA"/>
    <w:rsid w:val="00F4274B"/>
    <w:rsid w:val="00F51117"/>
    <w:rsid w:val="00F645D2"/>
    <w:rsid w:val="00F70379"/>
    <w:rsid w:val="00F77A4B"/>
    <w:rsid w:val="00F86291"/>
    <w:rsid w:val="00F91A23"/>
    <w:rsid w:val="00F97AE1"/>
    <w:rsid w:val="00FD1A5C"/>
    <w:rsid w:val="00FD1E93"/>
    <w:rsid w:val="00FD46D6"/>
    <w:rsid w:val="00FE1593"/>
    <w:rsid w:val="00FE7B9F"/>
    <w:rsid w:val="0EB5BD4F"/>
    <w:rsid w:val="2304E046"/>
    <w:rsid w:val="266D9B43"/>
    <w:rsid w:val="28096BA4"/>
    <w:rsid w:val="352B5204"/>
    <w:rsid w:val="3688DCDA"/>
    <w:rsid w:val="3F976FC1"/>
    <w:rsid w:val="44FB75B1"/>
    <w:rsid w:val="475DB2F0"/>
    <w:rsid w:val="48F98351"/>
    <w:rsid w:val="57366A41"/>
    <w:rsid w:val="584B0DB4"/>
    <w:rsid w:val="5A036A0E"/>
    <w:rsid w:val="72F31FE3"/>
    <w:rsid w:val="7882A66A"/>
    <w:rsid w:val="7E0C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F9A1F"/>
  <w15:chartTrackingRefBased/>
  <w15:docId w15:val="{5595370C-D4CC-4601-8313-D3647E45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441"/>
    <w:pPr>
      <w:keepNext/>
      <w:keepLines/>
      <w:spacing w:before="240" w:after="0" w:line="240" w:lineRule="auto"/>
      <w:outlineLvl w:val="0"/>
    </w:pPr>
    <w:rPr>
      <w:rFonts w:ascii="Arial" w:hAnsi="Arial" w:eastAsiaTheme="majorEastAsia" w:cstheme="majorBidi"/>
      <w:b/>
      <w:bCs/>
      <w:color w:val="0099C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E9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05F81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05F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5F81"/>
    <w:rPr>
      <w:vertAlign w:val="superscript"/>
    </w:rPr>
  </w:style>
  <w:style w:type="paragraph" w:styleId="ListParagraph">
    <w:name w:val="List Paragraph"/>
    <w:basedOn w:val="Normal"/>
    <w:uiPriority w:val="34"/>
    <w:qFormat/>
    <w:rsid w:val="00CA530B"/>
    <w:pPr>
      <w:ind w:left="720"/>
      <w:contextualSpacing/>
    </w:pPr>
  </w:style>
  <w:style w:type="table" w:styleId="TableGrid">
    <w:name w:val="Table Grid"/>
    <w:basedOn w:val="TableNormal"/>
    <w:uiPriority w:val="39"/>
    <w:rsid w:val="00F703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1Light">
    <w:name w:val="Grid Table 1 Light"/>
    <w:basedOn w:val="TableNormal"/>
    <w:uiPriority w:val="46"/>
    <w:rsid w:val="0026294C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101F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FBA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8A36B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0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37B0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447F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9447FD"/>
  </w:style>
  <w:style w:type="paragraph" w:styleId="Footer">
    <w:name w:val="footer"/>
    <w:basedOn w:val="Normal"/>
    <w:link w:val="FooterChar"/>
    <w:uiPriority w:val="99"/>
    <w:semiHidden/>
    <w:unhideWhenUsed/>
    <w:rsid w:val="009447F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9447FD"/>
  </w:style>
  <w:style w:type="character" w:styleId="Heading1Char" w:customStyle="1">
    <w:name w:val="Heading 1 Char"/>
    <w:basedOn w:val="DefaultParagraphFont"/>
    <w:link w:val="Heading1"/>
    <w:uiPriority w:val="9"/>
    <w:rsid w:val="00D65441"/>
    <w:rPr>
      <w:rFonts w:ascii="Arial" w:hAnsi="Arial" w:eastAsiaTheme="majorEastAsia" w:cstheme="majorBidi"/>
      <w:b/>
      <w:bCs/>
      <w:color w:val="0099C4"/>
      <w:sz w:val="48"/>
      <w:szCs w:val="48"/>
    </w:rPr>
  </w:style>
  <w:style w:type="paragraph" w:styleId="Title">
    <w:name w:val="Title"/>
    <w:aliases w:val="Course Title"/>
    <w:basedOn w:val="Normal"/>
    <w:next w:val="Normal"/>
    <w:link w:val="TitleChar"/>
    <w:uiPriority w:val="10"/>
    <w:qFormat/>
    <w:rsid w:val="00D65441"/>
    <w:pPr>
      <w:spacing w:after="0" w:line="240" w:lineRule="auto"/>
      <w:contextualSpacing/>
    </w:pPr>
    <w:rPr>
      <w:rFonts w:ascii="Arial" w:hAnsi="Arial" w:eastAsiaTheme="majorEastAsia" w:cstheme="majorBidi"/>
      <w:b/>
      <w:bCs/>
      <w:color w:val="000000" w:themeColor="text1"/>
      <w:spacing w:val="-10"/>
      <w:kern w:val="28"/>
      <w:sz w:val="64"/>
      <w:szCs w:val="64"/>
    </w:rPr>
  </w:style>
  <w:style w:type="character" w:styleId="TitleChar" w:customStyle="1">
    <w:name w:val="Title Char"/>
    <w:aliases w:val="Course Title Char"/>
    <w:basedOn w:val="DefaultParagraphFont"/>
    <w:link w:val="Title"/>
    <w:uiPriority w:val="10"/>
    <w:rsid w:val="00D65441"/>
    <w:rPr>
      <w:rFonts w:ascii="Arial" w:hAnsi="Arial" w:eastAsiaTheme="majorEastAsia" w:cstheme="majorBidi"/>
      <w:b/>
      <w:bCs/>
      <w:color w:val="000000" w:themeColor="text1"/>
      <w:spacing w:val="-10"/>
      <w:kern w:val="28"/>
      <w:sz w:val="64"/>
      <w:szCs w:val="64"/>
    </w:rPr>
  </w:style>
  <w:style w:type="character" w:styleId="FollowedHyperlink">
    <w:name w:val="FollowedHyperlink"/>
    <w:basedOn w:val="DefaultParagraphFont"/>
    <w:uiPriority w:val="99"/>
    <w:semiHidden/>
    <w:unhideWhenUsed/>
    <w:rsid w:val="004D72EA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41A77"/>
    <w:rPr>
      <w:color w:val="808080"/>
    </w:rPr>
  </w:style>
  <w:style w:type="character" w:styleId="Heading2Char" w:customStyle="1">
    <w:name w:val="Heading 2 Char"/>
    <w:basedOn w:val="DefaultParagraphFont"/>
    <w:link w:val="Heading2"/>
    <w:uiPriority w:val="9"/>
    <w:rsid w:val="00FD1E93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09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53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43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3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7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89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06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07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9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C55A8-E44A-4F96-A6D4-BBEAE7E8D78B}"/>
      </w:docPartPr>
      <w:docPartBody>
        <w:p w:rsidR="00000000" w:rsidRDefault="00AA3C53">
          <w:r w:rsidRPr="0083692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C53"/>
    <w:rsid w:val="00AA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3C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EEC3289-69BE-4C01-8684-CAC7227E966C}">
  <we:reference id="f78a3046-9e99-4300-aa2b-5814002b01a2" version="1.46.0.0" store="EXCatalog" storeType="EXCatalog"/>
  <we:alternateReferences>
    <we:reference id="WA104382081" version="1.46.0.0" store="en-GB" storeType="OMEX"/>
  </we:alternateReferences>
  <we:properties>
    <we:property name="MENDELEY_CITATIONS" value="[{&quot;citationID&quot;:&quot;MENDELEY_CITATION_7ad65247-68ae-4876-9007-8f1cf705a211&quot;,&quot;properties&quot;:{&quot;noteIndex&quot;:0},&quot;isEdited&quot;:false,&quot;manualOverride&quot;:{&quot;isManuallyOverridden&quot;:false,&quot;citeprocText&quot;:&quot;(Bhandari et al., 2021)&quot;,&quot;manualOverrideText&quot;:&quot;&quot;},&quot;citationTag&quot;:&quot;MENDELEY_CITATION_v3_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&quot;,&quot;citationItems&quot;:[{&quot;id&quot;:&quot;7a5f39f4-68b1-34e1-aab1-37eb201558a7&quot;,&quot;itemData&quot;:{&quot;type&quot;:&quot;webpage&quot;,&quot;id&quot;:&quot;7a5f39f4-68b1-34e1-aab1-37eb201558a7&quot;,&quot;title&quot;:&quot;The UK biotech sector: The path to global leadership&quot;,&quot;author&quot;:[{&quot;family&quot;:&quot;Bhandari&quot;,&quot;given&quot;:&quot;Mayank&quot;,&quot;parse-names&quot;:false,&quot;dropping-particle&quot;:&quot;&quot;,&quot;non-dropping-particle&quot;:&quot;&quot;},{&quot;family&quot;:&quot;Cooney&quot;,&quot;given&quot;:&quot;David&quot;,&quot;parse-names&quot;:false,&quot;dropping-particle&quot;:&quot;&quot;,&quot;non-dropping-particle&quot;:&quot;&quot;},{&quot;family&quot;:&quot;Devereson&quot;,&quot;given&quot;:&quot;Alex&quot;,&quot;parse-names&quot;:false,&quot;dropping-particle&quot;:&quot;&quot;,&quot;non-dropping-particle&quot;:&quot;&quot;},{&quot;family&quot;:&quot;Moss&quot;,&quot;given&quot;:&quot;Rachel&quot;,&quot;parse-names&quot;:false,&quot;dropping-particle&quot;:&quot;&quot;,&quot;non-dropping-particle&quot;:&quot;&quot;},{&quot;family&quot;:&quot;Thaker&quot;,&quot;given&quot;:&quot;Shail&quot;,&quot;parse-names&quot;:false,&quot;dropping-particle&quot;:&quot;&quot;,&quot;non-dropping-particle&quot;:&quot;&quot;}],&quot;container-title&quot;:&quot;McKinsey’s Life Sciences Practice&quot;,&quot;accessed&quot;:{&quot;date-parts&quot;:[[2022,9,6]]},&quot;URL&quot;:&quot;https://www.mckinsey.com/industries/life-sciences/our-insights/the-uk-biotech-sector-the-path-to-global-leadership&quot;,&quot;issued&quot;:{&quot;date-parts&quot;:[[2021,12,3]]}},&quot;isTemporary&quot;:false}]},{&quot;citationID&quot;:&quot;MENDELEY_CITATION_5bdc6fe5-92c7-4b54-b674-72661869da6c&quot;,&quot;properties&quot;:{&quot;noteIndex&quot;:0},&quot;isEdited&quot;:false,&quot;manualOverride&quot;:{&quot;isManuallyOverridden&quot;:false,&quot;citeprocText&quot;:&quot;(Research and Markets, 2018)&quot;,&quot;manualOverrideText&quot;:&quot;&quot;},&quot;citationTag&quot;:&quot;MENDELEY_CITATION_v3_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&quot;,&quot;citationItems&quot;:[{&quot;id&quot;:&quot;128669dd-fae0-3351-9fd6-ff9017253c12&quot;,&quot;itemData&quot;:{&quot;type&quot;:&quot;webpage&quot;,&quot;id&quot;:&quot;128669dd-fae0-3351-9fd6-ff9017253c12&quot;,&quot;title&quot;:&quot;Global Mid-Size Pharmaceutical Market 2016-2018 &amp; 2021: Market is Projected to Grow from Approximately $1.1 Trillion in 2016 to $1.5 Trillion in 2021&quot;,&quot;author&quot;:[{&quot;family&quot;:&quot;Research and Markets&quot;,&quot;given&quot;:&quot;&quot;,&quot;parse-names&quot;:false,&quot;dropping-particle&quot;:&quot;&quot;,&quot;non-dropping-particle&quot;:&quot;&quot;}],&quot;accessed&quot;:{&quot;date-parts&quot;:[[2022,9,6]]},&quot;URL&quot;:&quot;https://www.prnewswire.com/news-releases/global-mid-size-pharmaceutical-market-2016-2018--2021-market-is-projected-to-grow-from-approximately-1-1-trillion-in-2016-to-1-5-trillion-in-2021--300666386.html&quot;,&quot;issued&quot;:{&quot;date-parts&quot;:[[2018,6,14]]},&quot;container-title-short&quot;:&quot;&quot;},&quot;isTemporary&quot;:false}]},{&quot;citationID&quot;:&quot;MENDELEY_CITATION_5edf78d2-6a7f-42ab-ac96-327f9d8cab8d&quot;,&quot;properties&quot;:{&quot;noteIndex&quot;:0},&quot;isEdited&quot;:false,&quot;manualOverride&quot;:{&quot;isManuallyOverridden&quot;:false,&quot;citeprocText&quot;:&quot;(Nellis &amp;#38; Parker, 2006)&quot;,&quot;manualOverrideText&quot;:&quot;&quot;},&quot;citationTag&quot;:&quot;MENDELEY_CITATION_v3_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&quot;,&quot;citationItems&quot;:[{&quot;id&quot;:&quot;28c33bd7-9e8f-3f5a-bbf2-13c1c40bfac1&quot;,&quot;itemData&quot;:{&quot;type&quot;:&quot;book&quot;,&quot;id&quot;:&quot;28c33bd7-9e8f-3f5a-bbf2-13c1c40bfac1&quot;,&quot;title&quot;:&quot;Principles of Business Economics, 2nd edition&quot;,&quot;author&quot;:[{&quot;family&quot;:&quot;Nellis&quot;,&quot;given&quot;:&quot;Joseph G.&quot;,&quot;parse-names&quot;:false,&quot;dropping-particle&quot;:&quot;&quot;,&quot;non-dropping-particle&quot;:&quot;&quot;},{&quot;family&quot;:&quot;Parker&quot;,&quot;given&quot;:&quot;David&quot;,&quot;parse-names&quot;:false,&quot;dropping-particle&quot;:&quot;&quot;,&quot;non-dropping-particle&quot;:&quot;&quot;}],&quot;ISBN&quot;:&quot;9780273693062&quot;,&quot;issued&quot;:{&quot;date-parts&quot;:[[2006]]},&quot;publisher&quot;:&quot;Harlow: Pearson Education Limited&quot;,&quot;container-title-short&quot;:&quot;&quot;},&quot;isTemporary&quot;:false}]},{&quot;citationID&quot;:&quot;MENDELEY_CITATION_b72158ed-252a-4e72-9fa5-e6bdafacc8e9&quot;,&quot;properties&quot;:{&quot;noteIndex&quot;:0},&quot;isEdited&quot;:false,&quot;manualOverride&quot;:{&quot;isManuallyOverridden&quot;:false,&quot;citeprocText&quot;:&quot;(UK Biotech Database, n.d.)&quot;,&quot;manualOverrideText&quot;:&quot;&quot;},&quot;citationTag&quot;:&quot;MENDELEY_CITATION_v3_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&quot;,&quot;citationItems&quot;:[{&quot;id&quot;:&quot;0609afa7-ce44-3c12-90ba-b4ba6f36c44c&quot;,&quot;itemData&quot;:{&quot;type&quot;:&quot;webpage&quot;,&quot;id&quot;:&quot;0609afa7-ce44-3c12-90ba-b4ba6f36c44c&quot;,&quot;title&quot;:&quot;Definitions of available industry sectors and subsectors&quot;,&quot;author&quot;:[{&quot;family&quot;:&quot;UK Biotech Database&quot;,&quot;given&quot;:&quot;&quot;,&quot;parse-names&quot;:false,&quot;dropping-particle&quot;:&quot;&quot;,&quot;non-dropping-particle&quot;:&quot;&quot;}],&quot;accessed&quot;:{&quot;date-parts&quot;:[[2022,9,6]]},&quot;URL&quot;:&quot;https://www.ukbiotech.com/uk/portal/definitions.php&quot;,&quot;container-title-short&quot;:&quot;&quot;},&quot;isTemporary&quot;:false}]}]"/>
    <we:property name="MENDELEY_CITATIONS_STYLE" value="{&quot;id&quot;:&quot;https://www.zotero.org/styles/apa&quot;,&quot;title&quot;:&quot;American Psychological Association 7th edition&quot;,&quot;format&quot;:&quot;author-date&quot;,&quot;defaultLocale&quot;:null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270DDD60E4A4BA8CA4FACFE2DA9A5" ma:contentTypeVersion="11" ma:contentTypeDescription="Create a new document." ma:contentTypeScope="" ma:versionID="d3404546b4548ae27605c16f2f4afa55">
  <xsd:schema xmlns:xsd="http://www.w3.org/2001/XMLSchema" xmlns:xs="http://www.w3.org/2001/XMLSchema" xmlns:p="http://schemas.microsoft.com/office/2006/metadata/properties" xmlns:ns2="48fc8e1a-ef10-491b-92c5-9fe8dd92a865" xmlns:ns3="dd54fb01-6242-4ec1-9760-e6dc4d026c05" targetNamespace="http://schemas.microsoft.com/office/2006/metadata/properties" ma:root="true" ma:fieldsID="a742a790925718bb0adc90f927762a4c" ns2:_="" ns3:_="">
    <xsd:import namespace="48fc8e1a-ef10-491b-92c5-9fe8dd92a865"/>
    <xsd:import namespace="dd54fb01-6242-4ec1-9760-e6dc4d026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c8e1a-ef10-491b-92c5-9fe8dd92a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4fb01-6242-4ec1-9760-e6dc4d026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28BBA-D1BA-4B64-ADF4-D529F6FF8C00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48fc8e1a-ef10-491b-92c5-9fe8dd92a865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dd54fb01-6242-4ec1-9760-e6dc4d026c0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86DEECF-6090-4D13-B2B0-3A215DD89D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A98A89-0D55-4C2C-807E-7214E25DD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c8e1a-ef10-491b-92c5-9fe8dd92a865"/>
    <ds:schemaRef ds:uri="dd54fb01-6242-4ec1-9760-e6dc4d026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290CE5-4D1F-4DE8-9C23-7763A06888A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Ifechukwude Uwajeh</dc:creator>
  <keywords/>
  <dc:description/>
  <lastModifiedBy>Pavan Addepalli</lastModifiedBy>
  <revision>185</revision>
  <dcterms:created xsi:type="dcterms:W3CDTF">2022-07-15T12:55:00.0000000Z</dcterms:created>
  <dcterms:modified xsi:type="dcterms:W3CDTF">2022-09-06T15:59:55.7592942Z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0x010100F76270DDD60E4A4BA8CA4FACFE2DA9A5</vt:lpwstr>
  </property>
</Properties>
</file>